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4759"/>
        <w:gridCol w:w="4765"/>
      </w:tblGrid>
      <w:tr w:rsidR="00501175" w14:paraId="44F10D22" w14:textId="77777777" w:rsidTr="005968BF">
        <w:trPr>
          <w:jc w:val="center"/>
        </w:trPr>
        <w:tc>
          <w:tcPr>
            <w:tcW w:w="4759" w:type="dxa"/>
            <w:tcBorders>
              <w:top w:val="single" w:sz="8" w:space="0" w:color="A6A6A6"/>
              <w:left w:val="single" w:sz="8" w:space="0" w:color="A6A6A6"/>
              <w:bottom w:val="single" w:sz="8" w:space="0" w:color="A6A6A6"/>
              <w:right w:val="single" w:sz="8" w:space="0" w:color="A6A6A6"/>
            </w:tcBorders>
            <w:shd w:val="clear" w:color="auto" w:fill="E7E6E6"/>
            <w:tcMar>
              <w:top w:w="60" w:type="dxa"/>
              <w:left w:w="100" w:type="dxa"/>
              <w:bottom w:w="60" w:type="dxa"/>
              <w:right w:w="100" w:type="dxa"/>
            </w:tcMar>
          </w:tcPr>
          <w:p w14:paraId="1FBEAC98" w14:textId="77777777" w:rsidR="00501175" w:rsidRDefault="002C291D">
            <w:r>
              <w:rPr>
                <w:b/>
                <w:sz w:val="18"/>
              </w:rPr>
              <w:t>RESEARCH ARTICLE</w:t>
            </w:r>
          </w:p>
        </w:tc>
        <w:tc>
          <w:tcPr>
            <w:tcW w:w="4765" w:type="dxa"/>
            <w:tcBorders>
              <w:top w:val="single" w:sz="8" w:space="0" w:color="A6A6A6"/>
              <w:left w:val="single" w:sz="8" w:space="0" w:color="A6A6A6"/>
              <w:bottom w:val="single" w:sz="8" w:space="0" w:color="A6A6A6"/>
              <w:right w:val="single" w:sz="8" w:space="0" w:color="A6A6A6"/>
            </w:tcBorders>
            <w:tcMar>
              <w:top w:w="60" w:type="dxa"/>
              <w:left w:w="100" w:type="dxa"/>
              <w:bottom w:w="60" w:type="dxa"/>
              <w:right w:w="100" w:type="dxa"/>
            </w:tcMar>
          </w:tcPr>
          <w:p w14:paraId="70F0120A" w14:textId="77777777" w:rsidR="00501175" w:rsidRDefault="002C291D">
            <w:pPr>
              <w:jc w:val="right"/>
            </w:pPr>
            <w:r>
              <w:rPr>
                <w:sz w:val="18"/>
              </w:rPr>
              <w:t>DOI: https://doi.org/10.xxxx/ijbma.xxxxx</w:t>
            </w:r>
          </w:p>
        </w:tc>
      </w:tr>
    </w:tbl>
    <w:p w14:paraId="6E91A2CC" w14:textId="3C84F764" w:rsidR="00501175" w:rsidRDefault="005968BF" w:rsidP="00972720">
      <w:pPr>
        <w:spacing w:before="180" w:after="0"/>
        <w:jc w:val="center"/>
        <w:rPr>
          <w:b/>
          <w:sz w:val="32"/>
        </w:rPr>
      </w:pPr>
      <w:r w:rsidRPr="005968BF">
        <w:rPr>
          <w:b/>
          <w:sz w:val="32"/>
        </w:rPr>
        <w:t>Digital Entrepreneurship in Medicine through Leveraging Technology to Improve Clinical Operations and Patient Engagement</w:t>
      </w:r>
    </w:p>
    <w:p w14:paraId="54139450" w14:textId="77777777" w:rsidR="00972720" w:rsidRDefault="00972720" w:rsidP="00972720">
      <w:pPr>
        <w:spacing w:after="0"/>
        <w:jc w:val="center"/>
      </w:pPr>
    </w:p>
    <w:p w14:paraId="641F56F5" w14:textId="2A36E657" w:rsidR="00501175" w:rsidRDefault="006343FB">
      <w:pPr>
        <w:spacing w:after="40"/>
        <w:jc w:val="center"/>
        <w:rPr>
          <w:b/>
          <w:sz w:val="24"/>
          <w:szCs w:val="28"/>
          <w:vertAlign w:val="superscript"/>
        </w:rPr>
      </w:pPr>
      <w:r w:rsidRPr="00972720">
        <w:rPr>
          <w:b/>
          <w:sz w:val="24"/>
          <w:szCs w:val="28"/>
        </w:rPr>
        <w:t>Nurul Shuhada Abd Wahab</w:t>
      </w:r>
      <w:r w:rsidR="00972720" w:rsidRPr="00972720">
        <w:rPr>
          <w:b/>
          <w:sz w:val="24"/>
          <w:szCs w:val="28"/>
          <w:vertAlign w:val="superscript"/>
        </w:rPr>
        <w:t>1*</w:t>
      </w:r>
      <w:r w:rsidR="002C291D" w:rsidRPr="00972720">
        <w:rPr>
          <w:b/>
          <w:sz w:val="24"/>
          <w:szCs w:val="28"/>
        </w:rPr>
        <w:t xml:space="preserve"> </w:t>
      </w:r>
      <w:r w:rsidRPr="00972720">
        <w:rPr>
          <w:b/>
          <w:sz w:val="24"/>
          <w:szCs w:val="28"/>
        </w:rPr>
        <w:t>Mohamed Suhaimi Yusof</w:t>
      </w:r>
      <w:r w:rsidR="00972720" w:rsidRPr="00972720">
        <w:rPr>
          <w:b/>
          <w:sz w:val="24"/>
          <w:szCs w:val="28"/>
          <w:vertAlign w:val="superscript"/>
        </w:rPr>
        <w:t>2</w:t>
      </w:r>
      <w:r w:rsidR="00972720">
        <w:rPr>
          <w:b/>
          <w:sz w:val="24"/>
          <w:szCs w:val="28"/>
        </w:rPr>
        <w:t>,</w:t>
      </w:r>
      <w:r w:rsidR="002C291D" w:rsidRPr="00972720">
        <w:rPr>
          <w:b/>
          <w:sz w:val="24"/>
          <w:szCs w:val="28"/>
        </w:rPr>
        <w:t xml:space="preserve"> </w:t>
      </w:r>
      <w:r w:rsidRPr="00972720">
        <w:rPr>
          <w:b/>
          <w:sz w:val="24"/>
          <w:szCs w:val="28"/>
        </w:rPr>
        <w:t>Norashikin Misnan</w:t>
      </w:r>
      <w:r w:rsidR="00972720" w:rsidRPr="00972720">
        <w:rPr>
          <w:b/>
          <w:sz w:val="24"/>
          <w:szCs w:val="28"/>
          <w:vertAlign w:val="superscript"/>
        </w:rPr>
        <w:t>3</w:t>
      </w:r>
    </w:p>
    <w:p w14:paraId="172F6097" w14:textId="77777777" w:rsidR="00972720" w:rsidRPr="00972720" w:rsidRDefault="00972720">
      <w:pPr>
        <w:spacing w:after="40"/>
        <w:jc w:val="center"/>
        <w:rPr>
          <w:sz w:val="20"/>
        </w:rPr>
      </w:pPr>
    </w:p>
    <w:p w14:paraId="2157CFBF" w14:textId="4D9F0534" w:rsidR="00501175" w:rsidRPr="00972720" w:rsidRDefault="00972720">
      <w:pPr>
        <w:spacing w:after="0"/>
        <w:jc w:val="center"/>
        <w:rPr>
          <w:sz w:val="24"/>
          <w:szCs w:val="24"/>
        </w:rPr>
      </w:pPr>
      <w:r w:rsidRPr="00972720">
        <w:rPr>
          <w:sz w:val="20"/>
          <w:szCs w:val="24"/>
          <w:vertAlign w:val="superscript"/>
        </w:rPr>
        <w:t>1*</w:t>
      </w:r>
      <w:r>
        <w:rPr>
          <w:sz w:val="20"/>
          <w:szCs w:val="24"/>
        </w:rPr>
        <w:t xml:space="preserve"> </w:t>
      </w:r>
      <w:r w:rsidR="006343FB" w:rsidRPr="00972720">
        <w:rPr>
          <w:sz w:val="20"/>
          <w:szCs w:val="24"/>
        </w:rPr>
        <w:t>Sultanah Nur Zahirah Hospital, Kuala Terengganu, Terangganu, Malaysia</w:t>
      </w:r>
    </w:p>
    <w:p w14:paraId="0DF06329" w14:textId="2580AA7F" w:rsidR="00501175" w:rsidRPr="00972720" w:rsidRDefault="00972720">
      <w:pPr>
        <w:spacing w:after="0"/>
        <w:jc w:val="center"/>
        <w:rPr>
          <w:sz w:val="20"/>
          <w:szCs w:val="24"/>
        </w:rPr>
      </w:pPr>
      <w:r w:rsidRPr="00972720">
        <w:rPr>
          <w:sz w:val="20"/>
          <w:szCs w:val="24"/>
          <w:vertAlign w:val="superscript"/>
        </w:rPr>
        <w:t>2,3</w:t>
      </w:r>
      <w:r>
        <w:rPr>
          <w:sz w:val="20"/>
          <w:szCs w:val="24"/>
        </w:rPr>
        <w:t xml:space="preserve"> </w:t>
      </w:r>
      <w:r w:rsidR="006343FB" w:rsidRPr="00972720">
        <w:rPr>
          <w:sz w:val="20"/>
          <w:szCs w:val="24"/>
        </w:rPr>
        <w:t>Faculty of Business and Accountancy, Universiti Poly-Tech Malaysia, Malaysia</w:t>
      </w:r>
    </w:p>
    <w:p w14:paraId="421A0E2E" w14:textId="77777777" w:rsidR="00F1768D" w:rsidRPr="00972720" w:rsidRDefault="00F1768D">
      <w:pPr>
        <w:spacing w:after="0"/>
        <w:jc w:val="center"/>
        <w:rPr>
          <w:sz w:val="20"/>
          <w:szCs w:val="20"/>
        </w:rPr>
      </w:pPr>
    </w:p>
    <w:tbl>
      <w:tblPr>
        <w:tblW w:w="0" w:type="auto"/>
        <w:jc w:val="center"/>
        <w:tblLook w:val="04A0" w:firstRow="1" w:lastRow="0" w:firstColumn="1" w:lastColumn="0" w:noHBand="0" w:noVBand="1"/>
      </w:tblPr>
      <w:tblGrid>
        <w:gridCol w:w="4758"/>
        <w:gridCol w:w="4766"/>
      </w:tblGrid>
      <w:tr w:rsidR="00501175" w14:paraId="30201CE6" w14:textId="77777777">
        <w:trPr>
          <w:jc w:val="center"/>
        </w:trPr>
        <w:tc>
          <w:tcPr>
            <w:tcW w:w="4772" w:type="dxa"/>
            <w:tcBorders>
              <w:top w:val="single" w:sz="8" w:space="0" w:color="A6A6A6"/>
              <w:left w:val="single" w:sz="8" w:space="0" w:color="A6A6A6"/>
              <w:bottom w:val="single" w:sz="8" w:space="0" w:color="A6A6A6"/>
              <w:right w:val="single" w:sz="8" w:space="0" w:color="A6A6A6"/>
            </w:tcBorders>
            <w:tcMar>
              <w:top w:w="90" w:type="dxa"/>
              <w:left w:w="110" w:type="dxa"/>
              <w:bottom w:w="90" w:type="dxa"/>
              <w:right w:w="110" w:type="dxa"/>
            </w:tcMar>
          </w:tcPr>
          <w:p w14:paraId="5A18C840" w14:textId="77777777" w:rsidR="00501175" w:rsidRDefault="002C291D">
            <w:pPr>
              <w:spacing w:after="60"/>
            </w:pPr>
            <w:r>
              <w:rPr>
                <w:b/>
                <w:sz w:val="18"/>
              </w:rPr>
              <w:t>CORRESPONDING AUTHOR</w:t>
            </w:r>
          </w:p>
          <w:p w14:paraId="03C72D79" w14:textId="7773A5E8" w:rsidR="00501175" w:rsidRDefault="006343FB">
            <w:pPr>
              <w:spacing w:after="20"/>
            </w:pPr>
            <w:r w:rsidRPr="006343FB">
              <w:rPr>
                <w:sz w:val="18"/>
              </w:rPr>
              <w:t>Nurul Shuhada Abd Wahab</w:t>
            </w:r>
          </w:p>
          <w:p w14:paraId="0B2835DB" w14:textId="71D88750" w:rsidR="00501175" w:rsidRDefault="002C291D">
            <w:pPr>
              <w:spacing w:after="20"/>
            </w:pPr>
            <w:r>
              <w:rPr>
                <w:sz w:val="18"/>
              </w:rPr>
              <w:t xml:space="preserve">Email: </w:t>
            </w:r>
            <w:r w:rsidR="006343FB" w:rsidRPr="006343FB">
              <w:rPr>
                <w:sz w:val="18"/>
              </w:rPr>
              <w:t>hudawahab87@gmail.com</w:t>
            </w:r>
          </w:p>
          <w:p w14:paraId="20A6BD32" w14:textId="77777777" w:rsidR="00501175" w:rsidRDefault="002C291D">
            <w:pPr>
              <w:spacing w:after="20"/>
            </w:pPr>
            <w:r>
              <w:rPr>
                <w:sz w:val="18"/>
              </w:rPr>
              <w:t>ORCID: 0000-0000-0000-0000</w:t>
            </w:r>
          </w:p>
        </w:tc>
        <w:tc>
          <w:tcPr>
            <w:tcW w:w="4772" w:type="dxa"/>
            <w:tcBorders>
              <w:top w:val="single" w:sz="8" w:space="0" w:color="A6A6A6"/>
              <w:left w:val="single" w:sz="8" w:space="0" w:color="A6A6A6"/>
              <w:bottom w:val="single" w:sz="8" w:space="0" w:color="A6A6A6"/>
              <w:right w:val="single" w:sz="8" w:space="0" w:color="A6A6A6"/>
            </w:tcBorders>
            <w:tcMar>
              <w:top w:w="90" w:type="dxa"/>
              <w:left w:w="110" w:type="dxa"/>
              <w:bottom w:w="90" w:type="dxa"/>
              <w:right w:w="110" w:type="dxa"/>
            </w:tcMar>
          </w:tcPr>
          <w:p w14:paraId="37B4E834" w14:textId="77777777" w:rsidR="00501175" w:rsidRDefault="002C291D">
            <w:pPr>
              <w:spacing w:after="60"/>
            </w:pPr>
            <w:r>
              <w:rPr>
                <w:b/>
                <w:sz w:val="18"/>
              </w:rPr>
              <w:t>ARTICLE HISTORY</w:t>
            </w:r>
          </w:p>
          <w:tbl>
            <w:tblPr>
              <w:tblW w:w="0" w:type="auto"/>
              <w:jc w:val="center"/>
              <w:tblLook w:val="04A0" w:firstRow="1" w:lastRow="0" w:firstColumn="1" w:lastColumn="0" w:noHBand="0" w:noVBand="1"/>
            </w:tblPr>
            <w:tblGrid>
              <w:gridCol w:w="1135"/>
              <w:gridCol w:w="1093"/>
              <w:gridCol w:w="1145"/>
              <w:gridCol w:w="1173"/>
            </w:tblGrid>
            <w:tr w:rsidR="005653D0" w14:paraId="540C0C28" w14:textId="77777777" w:rsidTr="005653D0">
              <w:trPr>
                <w:jc w:val="center"/>
              </w:trPr>
              <w:tc>
                <w:tcPr>
                  <w:tcW w:w="1379" w:type="dxa"/>
                  <w:shd w:val="clear" w:color="auto" w:fill="EDEDED"/>
                  <w:tcMar>
                    <w:top w:w="25" w:type="dxa"/>
                    <w:left w:w="15" w:type="dxa"/>
                    <w:bottom w:w="25" w:type="dxa"/>
                    <w:right w:w="15" w:type="dxa"/>
                  </w:tcMar>
                  <w:hideMark/>
                </w:tcPr>
                <w:p w14:paraId="6DBCFDE4" w14:textId="77777777" w:rsidR="005653D0" w:rsidRDefault="005653D0" w:rsidP="005653D0">
                  <w:pPr>
                    <w:spacing w:after="0" w:line="216" w:lineRule="auto"/>
                    <w:jc w:val="center"/>
                    <w:rPr>
                      <w:sz w:val="20"/>
                      <w:szCs w:val="20"/>
                    </w:rPr>
                  </w:pPr>
                  <w:r>
                    <w:rPr>
                      <w:b/>
                      <w:sz w:val="20"/>
                      <w:szCs w:val="20"/>
                    </w:rPr>
                    <w:t>Received</w:t>
                  </w:r>
                </w:p>
              </w:tc>
              <w:tc>
                <w:tcPr>
                  <w:tcW w:w="1379" w:type="dxa"/>
                  <w:shd w:val="clear" w:color="auto" w:fill="EDEDED"/>
                  <w:tcMar>
                    <w:top w:w="25" w:type="dxa"/>
                    <w:left w:w="15" w:type="dxa"/>
                    <w:bottom w:w="25" w:type="dxa"/>
                    <w:right w:w="15" w:type="dxa"/>
                  </w:tcMar>
                  <w:hideMark/>
                </w:tcPr>
                <w:p w14:paraId="0664FD42" w14:textId="77777777" w:rsidR="005653D0" w:rsidRDefault="005653D0" w:rsidP="005653D0">
                  <w:pPr>
                    <w:spacing w:after="0" w:line="216" w:lineRule="auto"/>
                    <w:jc w:val="center"/>
                    <w:rPr>
                      <w:sz w:val="20"/>
                      <w:szCs w:val="20"/>
                    </w:rPr>
                  </w:pPr>
                  <w:r>
                    <w:rPr>
                      <w:b/>
                      <w:sz w:val="20"/>
                      <w:szCs w:val="20"/>
                    </w:rPr>
                    <w:t>Revised</w:t>
                  </w:r>
                </w:p>
              </w:tc>
              <w:tc>
                <w:tcPr>
                  <w:tcW w:w="1379" w:type="dxa"/>
                  <w:shd w:val="clear" w:color="auto" w:fill="EDEDED"/>
                  <w:tcMar>
                    <w:top w:w="25" w:type="dxa"/>
                    <w:left w:w="15" w:type="dxa"/>
                    <w:bottom w:w="25" w:type="dxa"/>
                    <w:right w:w="15" w:type="dxa"/>
                  </w:tcMar>
                  <w:hideMark/>
                </w:tcPr>
                <w:p w14:paraId="6B546FF7" w14:textId="77777777" w:rsidR="005653D0" w:rsidRDefault="005653D0" w:rsidP="005653D0">
                  <w:pPr>
                    <w:spacing w:after="0" w:line="216" w:lineRule="auto"/>
                    <w:jc w:val="center"/>
                    <w:rPr>
                      <w:sz w:val="20"/>
                      <w:szCs w:val="20"/>
                    </w:rPr>
                  </w:pPr>
                  <w:r>
                    <w:rPr>
                      <w:b/>
                      <w:sz w:val="20"/>
                      <w:szCs w:val="20"/>
                    </w:rPr>
                    <w:t>Accepted</w:t>
                  </w:r>
                </w:p>
              </w:tc>
              <w:tc>
                <w:tcPr>
                  <w:tcW w:w="1379" w:type="dxa"/>
                  <w:shd w:val="clear" w:color="auto" w:fill="EDEDED"/>
                  <w:tcMar>
                    <w:top w:w="25" w:type="dxa"/>
                    <w:left w:w="15" w:type="dxa"/>
                    <w:bottom w:w="25" w:type="dxa"/>
                    <w:right w:w="15" w:type="dxa"/>
                  </w:tcMar>
                  <w:hideMark/>
                </w:tcPr>
                <w:p w14:paraId="21585044" w14:textId="77777777" w:rsidR="005653D0" w:rsidRDefault="005653D0" w:rsidP="005653D0">
                  <w:pPr>
                    <w:spacing w:after="0" w:line="216" w:lineRule="auto"/>
                    <w:jc w:val="center"/>
                    <w:rPr>
                      <w:sz w:val="20"/>
                      <w:szCs w:val="20"/>
                    </w:rPr>
                  </w:pPr>
                  <w:r>
                    <w:rPr>
                      <w:b/>
                      <w:sz w:val="20"/>
                      <w:szCs w:val="20"/>
                    </w:rPr>
                    <w:t>Published</w:t>
                  </w:r>
                </w:p>
              </w:tc>
            </w:tr>
            <w:tr w:rsidR="005653D0" w14:paraId="071CD78C" w14:textId="77777777" w:rsidTr="005653D0">
              <w:trPr>
                <w:jc w:val="center"/>
              </w:trPr>
              <w:tc>
                <w:tcPr>
                  <w:tcW w:w="1379" w:type="dxa"/>
                  <w:tcMar>
                    <w:top w:w="25" w:type="dxa"/>
                    <w:left w:w="15" w:type="dxa"/>
                    <w:bottom w:w="25" w:type="dxa"/>
                    <w:right w:w="15" w:type="dxa"/>
                  </w:tcMar>
                  <w:hideMark/>
                </w:tcPr>
                <w:p w14:paraId="6D3B30FF" w14:textId="3278B658" w:rsidR="005653D0" w:rsidRDefault="0001410B" w:rsidP="005653D0">
                  <w:pPr>
                    <w:spacing w:after="0" w:line="216" w:lineRule="auto"/>
                    <w:jc w:val="center"/>
                    <w:rPr>
                      <w:sz w:val="20"/>
                      <w:szCs w:val="20"/>
                    </w:rPr>
                  </w:pPr>
                  <w:r w:rsidRPr="0001410B">
                    <w:rPr>
                      <w:sz w:val="20"/>
                      <w:szCs w:val="20"/>
                    </w:rPr>
                    <w:t>24 June 2026</w:t>
                  </w:r>
                </w:p>
              </w:tc>
              <w:tc>
                <w:tcPr>
                  <w:tcW w:w="1379" w:type="dxa"/>
                  <w:tcMar>
                    <w:top w:w="25" w:type="dxa"/>
                    <w:left w:w="15" w:type="dxa"/>
                    <w:bottom w:w="25" w:type="dxa"/>
                    <w:right w:w="15" w:type="dxa"/>
                  </w:tcMar>
                  <w:hideMark/>
                </w:tcPr>
                <w:p w14:paraId="12D39802" w14:textId="3B7AA3AB" w:rsidR="005653D0" w:rsidRDefault="0001410B" w:rsidP="005653D0">
                  <w:pPr>
                    <w:spacing w:after="0" w:line="216" w:lineRule="auto"/>
                    <w:jc w:val="center"/>
                    <w:rPr>
                      <w:sz w:val="20"/>
                      <w:szCs w:val="20"/>
                    </w:rPr>
                  </w:pPr>
                  <w:r w:rsidRPr="0001410B">
                    <w:rPr>
                      <w:sz w:val="20"/>
                      <w:szCs w:val="20"/>
                    </w:rPr>
                    <w:t>30 July 2026</w:t>
                  </w:r>
                </w:p>
              </w:tc>
              <w:tc>
                <w:tcPr>
                  <w:tcW w:w="1379" w:type="dxa"/>
                  <w:tcMar>
                    <w:top w:w="25" w:type="dxa"/>
                    <w:left w:w="15" w:type="dxa"/>
                    <w:bottom w:w="25" w:type="dxa"/>
                    <w:right w:w="15" w:type="dxa"/>
                  </w:tcMar>
                  <w:hideMark/>
                </w:tcPr>
                <w:p w14:paraId="5A7B3175" w14:textId="0EFA9C29" w:rsidR="005653D0" w:rsidRDefault="0001410B" w:rsidP="0001410B">
                  <w:pPr>
                    <w:spacing w:after="0" w:line="216" w:lineRule="auto"/>
                    <w:jc w:val="center"/>
                    <w:rPr>
                      <w:sz w:val="20"/>
                      <w:szCs w:val="20"/>
                    </w:rPr>
                  </w:pPr>
                  <w:r w:rsidRPr="0001410B">
                    <w:rPr>
                      <w:sz w:val="20"/>
                      <w:szCs w:val="20"/>
                    </w:rPr>
                    <w:t>24 August 2026</w:t>
                  </w:r>
                </w:p>
              </w:tc>
              <w:tc>
                <w:tcPr>
                  <w:tcW w:w="1379" w:type="dxa"/>
                  <w:tcMar>
                    <w:top w:w="25" w:type="dxa"/>
                    <w:left w:w="15" w:type="dxa"/>
                    <w:bottom w:w="25" w:type="dxa"/>
                    <w:right w:w="15" w:type="dxa"/>
                  </w:tcMar>
                  <w:hideMark/>
                </w:tcPr>
                <w:p w14:paraId="43254034" w14:textId="77777777" w:rsidR="005653D0" w:rsidRDefault="005653D0" w:rsidP="005653D0">
                  <w:pPr>
                    <w:spacing w:after="0" w:line="216" w:lineRule="auto"/>
                    <w:jc w:val="center"/>
                    <w:rPr>
                      <w:sz w:val="20"/>
                      <w:szCs w:val="20"/>
                    </w:rPr>
                  </w:pPr>
                  <w:r>
                    <w:rPr>
                      <w:sz w:val="20"/>
                      <w:szCs w:val="20"/>
                    </w:rPr>
                    <w:t>30 September 2026</w:t>
                  </w:r>
                </w:p>
              </w:tc>
            </w:tr>
          </w:tbl>
          <w:p w14:paraId="152B1061" w14:textId="230E115E" w:rsidR="00501175" w:rsidRDefault="00501175">
            <w:pPr>
              <w:spacing w:after="20"/>
            </w:pPr>
          </w:p>
        </w:tc>
      </w:tr>
      <w:tr w:rsidR="00501175" w14:paraId="01B208CF" w14:textId="77777777">
        <w:trPr>
          <w:jc w:val="center"/>
        </w:trPr>
        <w:tc>
          <w:tcPr>
            <w:tcW w:w="9544" w:type="dxa"/>
            <w:gridSpan w:val="2"/>
            <w:tcBorders>
              <w:top w:val="single" w:sz="9" w:space="0" w:color="8C8C8C"/>
              <w:left w:val="single" w:sz="9" w:space="0" w:color="8C8C8C"/>
              <w:bottom w:val="single" w:sz="9" w:space="0" w:color="8C8C8C"/>
              <w:right w:val="single" w:sz="9" w:space="0" w:color="8C8C8C"/>
            </w:tcBorders>
            <w:shd w:val="clear" w:color="auto" w:fill="F7F7F7"/>
            <w:tcMar>
              <w:top w:w="110" w:type="dxa"/>
              <w:left w:w="130" w:type="dxa"/>
              <w:bottom w:w="110" w:type="dxa"/>
              <w:right w:w="130" w:type="dxa"/>
            </w:tcMar>
          </w:tcPr>
          <w:p w14:paraId="5B017E37" w14:textId="77777777" w:rsidR="00501175" w:rsidRPr="00234D6C" w:rsidRDefault="002C291D">
            <w:pPr>
              <w:rPr>
                <w:sz w:val="28"/>
                <w:szCs w:val="28"/>
              </w:rPr>
            </w:pPr>
            <w:r w:rsidRPr="00234D6C">
              <w:rPr>
                <w:b/>
                <w:sz w:val="24"/>
                <w:szCs w:val="28"/>
              </w:rPr>
              <w:t>ABSTRACT</w:t>
            </w:r>
          </w:p>
          <w:p w14:paraId="6353FBF0" w14:textId="544FBEE7" w:rsidR="00501175" w:rsidRPr="00234D6C" w:rsidRDefault="005968BF">
            <w:pPr>
              <w:jc w:val="both"/>
              <w:rPr>
                <w:sz w:val="28"/>
                <w:szCs w:val="28"/>
              </w:rPr>
            </w:pPr>
            <w:r w:rsidRPr="005968BF">
              <w:rPr>
                <w:sz w:val="24"/>
                <w:szCs w:val="28"/>
              </w:rPr>
              <w:t>Digital entrepreneurship in medicine has emerged as a pivotal force in reshaping clinical operations and patient engagement as healthcare systems increasingly rely on data driven innovation and technology enabled service delivery. This study examines how digital entrepreneurial initiatives influence clinical workflow efficiency, diagnostic processes, coordination mechanisms and patient participation across diverse care settings. Through a comprehensive analysis of existing academic and industry evidence, the article identifies structural, organisational and behavioural dynamics that determine the effectiveness of digital innovation in modern healthcare. The findings reveal that digital entrepreneurship accelerates operational improvements when it is integrated with clinical priorities, aligned with workflow design and supported by strong governance structures. At the same time, significant challenges persist, including conceptual fragmentation, workflow misalignment, inequitable engagement, fragile digital business models and emerging ethical concerns surrounding data and artificial intelligence. The study offers a set of actionable suggestions that emphasise strategic coherence, socio technical integration, inclusive engagement models, value-oriented business frameworks and strengthened governance and capability building. By synthesising these insights, the article contributes to a deeper understanding of how digital entrepreneurship can support sustainable transformation in healthcare and enhance both clinical performance and patient centred outcomes.</w:t>
            </w:r>
          </w:p>
          <w:p w14:paraId="27F51EF9" w14:textId="7DD9FCF2" w:rsidR="00501175" w:rsidRDefault="002C291D">
            <w:r w:rsidRPr="00234D6C">
              <w:rPr>
                <w:b/>
                <w:sz w:val="24"/>
                <w:szCs w:val="28"/>
              </w:rPr>
              <w:t xml:space="preserve">Keywords: </w:t>
            </w:r>
            <w:r w:rsidR="005968BF" w:rsidRPr="005968BF">
              <w:rPr>
                <w:sz w:val="24"/>
                <w:szCs w:val="28"/>
              </w:rPr>
              <w:t>Digital, Entrepreneurship, Medicine, Engagement, Governance</w:t>
            </w:r>
          </w:p>
        </w:tc>
      </w:tr>
      <w:tr w:rsidR="00501175" w14:paraId="6B597E78" w14:textId="77777777">
        <w:trPr>
          <w:jc w:val="center"/>
        </w:trPr>
        <w:tc>
          <w:tcPr>
            <w:tcW w:w="4772" w:type="dxa"/>
            <w:tcBorders>
              <w:top w:val="single" w:sz="8" w:space="0" w:color="A6A6A6"/>
              <w:left w:val="single" w:sz="8" w:space="0" w:color="A6A6A6"/>
              <w:bottom w:val="single" w:sz="8" w:space="0" w:color="A6A6A6"/>
              <w:right w:val="single" w:sz="8" w:space="0" w:color="A6A6A6"/>
            </w:tcBorders>
            <w:tcMar>
              <w:top w:w="90" w:type="dxa"/>
              <w:left w:w="105" w:type="dxa"/>
              <w:bottom w:w="90" w:type="dxa"/>
              <w:right w:w="105" w:type="dxa"/>
            </w:tcMar>
          </w:tcPr>
          <w:p w14:paraId="26089237" w14:textId="77777777" w:rsidR="00501175" w:rsidRDefault="002C291D">
            <w:pPr>
              <w:spacing w:after="60"/>
            </w:pPr>
            <w:r>
              <w:rPr>
                <w:b/>
                <w:sz w:val="16"/>
              </w:rPr>
              <w:t>HOW TO CITE</w:t>
            </w:r>
          </w:p>
          <w:p w14:paraId="31DE177C" w14:textId="77777777" w:rsidR="00501175" w:rsidRDefault="002C291D">
            <w:pPr>
              <w:spacing w:after="20"/>
            </w:pPr>
            <w:r>
              <w:rPr>
                <w:sz w:val="16"/>
              </w:rPr>
              <w:t>Author1, A. A., &amp; Author2, B. B. (20XX). Title of the article. International Journal of Business and Management Advancement, X(X), xx–xx. https://doi.org/10.xxxx/ijbma.xxxxx</w:t>
            </w:r>
          </w:p>
        </w:tc>
        <w:tc>
          <w:tcPr>
            <w:tcW w:w="4772" w:type="dxa"/>
            <w:tcBorders>
              <w:top w:val="single" w:sz="8" w:space="0" w:color="A6A6A6"/>
              <w:left w:val="single" w:sz="8" w:space="0" w:color="A6A6A6"/>
              <w:bottom w:val="single" w:sz="8" w:space="0" w:color="A6A6A6"/>
              <w:right w:val="single" w:sz="8" w:space="0" w:color="A6A6A6"/>
            </w:tcBorders>
            <w:tcMar>
              <w:top w:w="90" w:type="dxa"/>
              <w:left w:w="105" w:type="dxa"/>
              <w:bottom w:w="90" w:type="dxa"/>
              <w:right w:w="105" w:type="dxa"/>
            </w:tcMar>
          </w:tcPr>
          <w:p w14:paraId="3037AFD0" w14:textId="77777777" w:rsidR="00501175" w:rsidRDefault="002C291D">
            <w:pPr>
              <w:spacing w:after="60"/>
            </w:pPr>
            <w:r>
              <w:rPr>
                <w:b/>
                <w:sz w:val="16"/>
              </w:rPr>
              <w:t>COPYRIGHT &amp; OPEN ACCESS</w:t>
            </w:r>
          </w:p>
          <w:p w14:paraId="63608824" w14:textId="581EB866" w:rsidR="00501175" w:rsidRDefault="002C291D">
            <w:pPr>
              <w:spacing w:after="20"/>
            </w:pPr>
            <w:r>
              <w:rPr>
                <w:sz w:val="16"/>
              </w:rPr>
              <w:t>Copyright © 20</w:t>
            </w:r>
            <w:r w:rsidR="006E641B">
              <w:rPr>
                <w:sz w:val="16"/>
              </w:rPr>
              <w:t>26</w:t>
            </w:r>
            <w:r>
              <w:rPr>
                <w:sz w:val="16"/>
              </w:rPr>
              <w:t xml:space="preserve"> The Author(s).</w:t>
            </w:r>
          </w:p>
          <w:p w14:paraId="0953B528" w14:textId="6C675592" w:rsidR="00501175" w:rsidRDefault="002C291D">
            <w:pPr>
              <w:spacing w:after="20"/>
            </w:pPr>
            <w:r>
              <w:rPr>
                <w:sz w:val="16"/>
              </w:rPr>
              <w:t>Published by Global Academia Network. This open access article is licensed under the Creative Commons Attribution (CC BY 4.0) licence: https://creativecommons.org/licenses/by/4.0/legalcode</w:t>
            </w:r>
          </w:p>
        </w:tc>
      </w:tr>
    </w:tbl>
    <w:p w14:paraId="62628A4A" w14:textId="77777777" w:rsidR="00475AE7" w:rsidRDefault="00475AE7" w:rsidP="006D44C2">
      <w:pPr>
        <w:spacing w:before="240"/>
        <w:rPr>
          <w:b/>
          <w:sz w:val="24"/>
          <w:szCs w:val="24"/>
        </w:rPr>
      </w:pPr>
    </w:p>
    <w:p w14:paraId="75F4924A" w14:textId="77777777" w:rsidR="00475AE7" w:rsidRDefault="00475AE7" w:rsidP="006D44C2">
      <w:pPr>
        <w:spacing w:before="240"/>
        <w:rPr>
          <w:b/>
          <w:sz w:val="24"/>
          <w:szCs w:val="24"/>
        </w:rPr>
      </w:pPr>
    </w:p>
    <w:p w14:paraId="6355B19C" w14:textId="5A303A0C" w:rsidR="00501175" w:rsidRPr="006D44C2" w:rsidRDefault="002C291D" w:rsidP="006D44C2">
      <w:pPr>
        <w:spacing w:before="240"/>
        <w:rPr>
          <w:sz w:val="24"/>
          <w:szCs w:val="24"/>
        </w:rPr>
      </w:pPr>
      <w:r w:rsidRPr="006D44C2">
        <w:rPr>
          <w:b/>
          <w:sz w:val="24"/>
          <w:szCs w:val="24"/>
        </w:rPr>
        <w:lastRenderedPageBreak/>
        <w:t>1. INTRODUCTION</w:t>
      </w:r>
    </w:p>
    <w:p w14:paraId="78E994B7" w14:textId="6EB672BB" w:rsidR="005968BF" w:rsidRDefault="005968BF" w:rsidP="005968BF">
      <w:pPr>
        <w:spacing w:after="0"/>
        <w:jc w:val="both"/>
        <w:rPr>
          <w:sz w:val="24"/>
          <w:szCs w:val="24"/>
        </w:rPr>
      </w:pPr>
      <w:r w:rsidRPr="005968BF">
        <w:rPr>
          <w:sz w:val="24"/>
          <w:szCs w:val="24"/>
        </w:rPr>
        <w:t>Digital entrepreneurship in medicine is emerging as one of the most transformative developments in contemporary healthcare systems as organisations increasingly adopt digital innovations to improve service quality, operational efficiency and long-term sustainability (Weimar et al., 2025). Medical environments are traditionally characterised by complex workflows, high information intensity and significant regulatory responsibilities which create unique challenges for modernisation. Digital entrepreneurship offers new opportunities by enabling clinicians, administrators and innovators to utilise advanced technological solutions that streamline decision making and enhance patient centred care. These initiatives cover a broad spectrum of digital capabilities, including teleconsultation, artificial intelligence assisted diagnostics, cloud-based health information systems and mobile platforms for continuous patient engagement (Kraus et al., 2021). Scholars emphasise that digital transformation in healthcare requires innovative thinking supported by entrepreneurial behaviour that encourages experimentation and iterative improvement. Medical institutions therefore employ digital strategies not only to automate clinical tasks but also to create new value propositions that extend the boundaries of traditional care delivery (Nambisan, 2017). The central concern is therefore not the novelty of a technology, but whether it produces measurable clinical value while remaining workable for patients and professionals. This perspective is important because technological novelty alone does not determine whether an innovation becomes useful in routine care; organisational fit, professional acceptance and the ability to create measurable value shape whether digital initiatives can be sustained.</w:t>
      </w:r>
    </w:p>
    <w:p w14:paraId="1B55BF98" w14:textId="77777777" w:rsidR="005968BF" w:rsidRPr="005968BF" w:rsidRDefault="005968BF" w:rsidP="005968BF">
      <w:pPr>
        <w:spacing w:after="0"/>
        <w:jc w:val="both"/>
        <w:rPr>
          <w:sz w:val="24"/>
          <w:szCs w:val="24"/>
        </w:rPr>
      </w:pPr>
    </w:p>
    <w:p w14:paraId="33FB170F" w14:textId="685C5C81" w:rsidR="005968BF" w:rsidRDefault="005968BF" w:rsidP="005968BF">
      <w:pPr>
        <w:spacing w:after="0"/>
        <w:jc w:val="both"/>
        <w:rPr>
          <w:sz w:val="24"/>
          <w:szCs w:val="24"/>
        </w:rPr>
      </w:pPr>
      <w:r w:rsidRPr="005968BF">
        <w:rPr>
          <w:sz w:val="24"/>
          <w:szCs w:val="24"/>
        </w:rPr>
        <w:t>The concept of digital entrepreneurship in medicine can be understood as the process of creating and implementing innovative digital solutions that address unmet clinical needs, improve patient experience and enhance organisational performance (Agarwal et al., 2010). These entrepreneurial activities may originate from independent health technology developers, internal hospital teams or collaborative partnerships between medical professionals and technology experts. The rise of digital tools such as virtual care platforms, remote monitoring devices and intelligent scheduling systems illustrates the increasing relevance of entrepreneurial innovation to clinical settings. Literature suggests that digital entrepreneurship represents a new paradigm in healthcare because it redefines workflows, strengthens data driven decision making and expands opportunities for cross disciplinary collaboration (Mishra &amp; Pandey, 2023). Entrepreneurial initiatives in medicine often aim to resolve persistent challenges such as limited access to care, inconsistent clinical documentation and inefficiencies in communication among healthcare professionals. In addition, digital entrepreneurship supports scalability and adaptability, enabling solutions to be replicated across multiple departments or institutions (Vial, 2019). The central concern is therefore not the novelty of a technology, but whether it produces measurable clinical value while remaining workable for patients and professionals. Viewing entrepreneurship through a medical context also places stronger emphasis on clinical responsibility, because experimentation must coexist with reliability, evidence and accountability while new services are developed and refined. This strengthens the analytical connection between technological change, organisational practice and the quality of care delivered.</w:t>
      </w:r>
    </w:p>
    <w:p w14:paraId="3A55A258" w14:textId="77777777" w:rsidR="005968BF" w:rsidRPr="005968BF" w:rsidRDefault="005968BF" w:rsidP="005968BF">
      <w:pPr>
        <w:spacing w:after="0"/>
        <w:jc w:val="both"/>
        <w:rPr>
          <w:sz w:val="24"/>
          <w:szCs w:val="24"/>
        </w:rPr>
      </w:pPr>
    </w:p>
    <w:p w14:paraId="42B0678D" w14:textId="0241EFE0" w:rsidR="005968BF" w:rsidRDefault="005968BF" w:rsidP="005968BF">
      <w:pPr>
        <w:spacing w:after="0"/>
        <w:jc w:val="both"/>
        <w:rPr>
          <w:sz w:val="24"/>
          <w:szCs w:val="24"/>
        </w:rPr>
      </w:pPr>
      <w:r w:rsidRPr="005968BF">
        <w:rPr>
          <w:sz w:val="24"/>
          <w:szCs w:val="24"/>
        </w:rPr>
        <w:t xml:space="preserve">Clinical operations are central to effective medical service delivery because they integrate activities such as diagnosis, treatment planning, resource allocation, patient flow coordination and interprofessional communication (Abd Wahab &amp; Yusof, 2020). Traditional operational models frequently rely on manual processes that are vulnerable to delays, data inaccuracies and </w:t>
      </w:r>
      <w:r w:rsidRPr="005968BF">
        <w:rPr>
          <w:sz w:val="24"/>
          <w:szCs w:val="24"/>
        </w:rPr>
        <w:lastRenderedPageBreak/>
        <w:t>fragmentation. Digital entrepreneurship introduces innovative solutions that enable healthcare organisations to redesign these processes using advanced technologies that improve speed, reliability and coordination. Artificial intelligence supported decision tools, integrated electronic health records and predictive analytics facilitate more efficient diagnostic pathways and reduced administrative burden. Scholars argue that digital capabilities significantly influence an organisation’s ability to optimise patient throughput, reduce operational waste and strengthen overall performance (Dorsey &amp; Topol, 2016). Digital entrepreneurs therefore play a critical role in developing systems that enhance data interoperability, automate repetitive tasks and support real time clinical insights. For example, analytical models can identify bottlenecks in emergency departments, while automated triage applications assist clinicians in prioritising urgent cases (Irizarry et al., 2015). The central concern is therefore not the novelty of a technology, but whether it produces measurable clinical value while remaining workable for patients and professionals. Operational transformation therefore requires attention to the interaction between people, processes and information, rather than assuming that introducing a digital platform will automatically remove delay, duplication or coordination problems. This strengthens the analytical connection between technological change, organisational practice and the quality of care delivered.</w:t>
      </w:r>
    </w:p>
    <w:p w14:paraId="369C190D" w14:textId="77777777" w:rsidR="005968BF" w:rsidRPr="005968BF" w:rsidRDefault="005968BF" w:rsidP="005968BF">
      <w:pPr>
        <w:spacing w:after="0"/>
        <w:jc w:val="both"/>
        <w:rPr>
          <w:sz w:val="24"/>
          <w:szCs w:val="24"/>
        </w:rPr>
      </w:pPr>
    </w:p>
    <w:p w14:paraId="0481628B" w14:textId="14E88508" w:rsidR="005968BF" w:rsidRDefault="005968BF" w:rsidP="005968BF">
      <w:pPr>
        <w:spacing w:after="0"/>
        <w:jc w:val="both"/>
        <w:rPr>
          <w:sz w:val="24"/>
          <w:szCs w:val="24"/>
        </w:rPr>
      </w:pPr>
      <w:r w:rsidRPr="005968BF">
        <w:rPr>
          <w:sz w:val="24"/>
          <w:szCs w:val="24"/>
        </w:rPr>
        <w:t>Patient engagement has become an essential component of modern healthcare systems because engaged patients tend to experience better clinical outcomes, improved satisfaction and stronger adherence to treatment regimens (Greenhalgh et al., 2017). Digital entrepreneurship expands the potential for patient engagement by offering platforms and applications that allow individuals to participate actively in their healthcare journey. These tools include mobile health applications for self-monitoring, portals for reviewing medical information, secure messaging systems for communication with clinicians and digital coaching programs for long term disease management. Research demonstrates that digitally mediated engagement enhances patient empowerment by increasing access to personalised information and encouraging continuous interaction between patients and providers (Yusof &amp; Abd Wahab, 2021). Digital entrepreneurs often design platforms that integrate behavioural insights, personalised feedback and intuitive navigation to make health management more accessible and meaningful. The availability of patient generated data also contributes to improved clinical decision making since clinicians can assess patterns and changes that may not be visible during traditional consultations (Weimar et al., 2025). However, the effectiveness of digital engagement depends on usability, trust and inclusivity. This perspective places entrepreneurship, implementation and service quality within the same analytical frame instead of treating them as separate agendas. Patient participation should consequently be treated as a continuing relationship with care providers, since meaningful engagement depends on understanding, accessibility, trust and the practical ability to use digital information in health decisions.</w:t>
      </w:r>
    </w:p>
    <w:p w14:paraId="3744471E" w14:textId="77777777" w:rsidR="005968BF" w:rsidRPr="005968BF" w:rsidRDefault="005968BF" w:rsidP="005968BF">
      <w:pPr>
        <w:spacing w:after="0"/>
        <w:jc w:val="both"/>
        <w:rPr>
          <w:sz w:val="24"/>
          <w:szCs w:val="24"/>
        </w:rPr>
      </w:pPr>
    </w:p>
    <w:p w14:paraId="72AE2B8F" w14:textId="5169211D" w:rsidR="005968BF" w:rsidRDefault="005968BF" w:rsidP="005968BF">
      <w:pPr>
        <w:spacing w:after="0"/>
        <w:jc w:val="both"/>
        <w:rPr>
          <w:sz w:val="24"/>
          <w:szCs w:val="24"/>
        </w:rPr>
      </w:pPr>
      <w:r w:rsidRPr="005968BF">
        <w:rPr>
          <w:sz w:val="24"/>
          <w:szCs w:val="24"/>
        </w:rPr>
        <w:t xml:space="preserve">Given the rapid expansion of digital technologies in healthcare, there is a compelling need for academic investigation that examines how digital entrepreneurship can be effectively leveraged to improve clinical operations and patient engagement (Kraus et al., 2021). Modern healthcare systems are under pressure to deliver higher quality care while managing rising costs, workforce shortages and increasing patient expectations. Digital entrepreneurship provides a promising pathway for addressing these challenges by enabling efficient clinical processes, empowering patients and creating flexible service models adaptable to changing conditions. However, gaps remain in </w:t>
      </w:r>
      <w:r w:rsidRPr="005968BF">
        <w:rPr>
          <w:sz w:val="24"/>
          <w:szCs w:val="24"/>
        </w:rPr>
        <w:lastRenderedPageBreak/>
        <w:t>understanding the organisational conditions that support successful adoption, the behavioural factors influencing clinician acceptance and the sustainability of digital business models across different healthcare contexts (Nambisan, 2017). A comprehensive investigation is therefore needed to clarify how digital entrepreneurship functions as a strategic mechanism that drives transformation in medical practice. Such inquiry will contribute to theoretical progress while offering practical insights for policymakers, healthcare administrators and clinical leaders seeking to align digital innovation with improved patient outcomes and operational excellence (Agarwal et al., 2010). The study therefore treats clinical value and implementation quality as inseparable from entrepreneurial success. A more integrated analysis is therefore necessary to connect entrepreneurial opportunity, clinical operations and patient experience, allowing the value of digital innovation to be assessed beyond adoption rates or the visibility of new technologies. This strengthens the analytical connection between technological change, organisational practice and the quality of care delivered.</w:t>
      </w:r>
    </w:p>
    <w:p w14:paraId="49283FDC" w14:textId="77777777" w:rsidR="005968BF" w:rsidRPr="005968BF" w:rsidRDefault="005968BF" w:rsidP="005968BF">
      <w:pPr>
        <w:jc w:val="both"/>
        <w:rPr>
          <w:b/>
          <w:bCs/>
          <w:sz w:val="24"/>
          <w:szCs w:val="24"/>
        </w:rPr>
      </w:pPr>
    </w:p>
    <w:p w14:paraId="1ECA0E94" w14:textId="77777777" w:rsidR="005968BF" w:rsidRPr="005968BF" w:rsidRDefault="005968BF" w:rsidP="005968BF">
      <w:pPr>
        <w:jc w:val="both"/>
        <w:rPr>
          <w:b/>
          <w:bCs/>
          <w:sz w:val="24"/>
          <w:szCs w:val="24"/>
        </w:rPr>
      </w:pPr>
      <w:r w:rsidRPr="005968BF">
        <w:rPr>
          <w:b/>
          <w:bCs/>
          <w:sz w:val="24"/>
          <w:szCs w:val="24"/>
        </w:rPr>
        <w:t>2. LITERATURE REVIEW</w:t>
      </w:r>
    </w:p>
    <w:p w14:paraId="489E0088" w14:textId="04E22F25" w:rsidR="005968BF" w:rsidRDefault="005968BF" w:rsidP="005968BF">
      <w:pPr>
        <w:spacing w:after="0"/>
        <w:jc w:val="both"/>
        <w:rPr>
          <w:sz w:val="24"/>
          <w:szCs w:val="24"/>
        </w:rPr>
      </w:pPr>
      <w:r w:rsidRPr="005968BF">
        <w:rPr>
          <w:sz w:val="24"/>
          <w:szCs w:val="24"/>
        </w:rPr>
        <w:t>Digital entrepreneurship in medicine represents the convergence of entrepreneurial action, digital technology and clinical value creation. Its significance extends beyond the introduction of new platforms or devices because sustainable innovation depends on how technology is integrated with healthcare processes, professional practice and patient needs. Nambisan (2017) positions digital entrepreneurship as a distinctive form of value creation shaped by digital technologies, while Kraus et al. (2021) demonstrate that healthcare transformation requires broader organisational adaptation. Within medical settings, digital ventures therefore operate across interconnected technological, clinical and institutional environments. Their development is influenced by implementation capability, patient engagement, viable business models and responsible governance. Weimar et al. (2025) further emphasise the importance of understanding digital health entrepreneurship as an ecosystem phenomenon involving multiple actors, resources and value relationships.</w:t>
      </w:r>
    </w:p>
    <w:p w14:paraId="7437568F" w14:textId="77777777" w:rsidR="005968BF" w:rsidRPr="005968BF" w:rsidRDefault="005968BF" w:rsidP="005968BF">
      <w:pPr>
        <w:spacing w:after="0"/>
        <w:jc w:val="both"/>
        <w:rPr>
          <w:sz w:val="24"/>
          <w:szCs w:val="24"/>
        </w:rPr>
      </w:pPr>
    </w:p>
    <w:p w14:paraId="70874728" w14:textId="77777777" w:rsidR="005968BF" w:rsidRPr="005968BF" w:rsidRDefault="005968BF" w:rsidP="005968BF">
      <w:pPr>
        <w:jc w:val="both"/>
        <w:rPr>
          <w:b/>
          <w:bCs/>
          <w:sz w:val="24"/>
          <w:szCs w:val="24"/>
        </w:rPr>
      </w:pPr>
      <w:r w:rsidRPr="005968BF">
        <w:rPr>
          <w:b/>
          <w:bCs/>
          <w:sz w:val="24"/>
          <w:szCs w:val="24"/>
        </w:rPr>
        <w:t>2.1 Conceptualising Digital Entrepreneurship in Medicine</w:t>
      </w:r>
    </w:p>
    <w:p w14:paraId="10C1BD00" w14:textId="0D1F745C" w:rsidR="005968BF" w:rsidRDefault="005968BF" w:rsidP="005968BF">
      <w:pPr>
        <w:spacing w:after="0"/>
        <w:jc w:val="both"/>
        <w:rPr>
          <w:sz w:val="24"/>
          <w:szCs w:val="24"/>
        </w:rPr>
      </w:pPr>
      <w:r w:rsidRPr="005968BF">
        <w:rPr>
          <w:sz w:val="24"/>
          <w:szCs w:val="24"/>
        </w:rPr>
        <w:t xml:space="preserve">Digital entrepreneurship is increasingly recognised as a distinct phenomenon that combines entrepreneurial behaviour with the exploitation of digital technologies to create, deliver and capture value (Nambisan, 2017). Within healthcare, this concept extends beyond conventional start up activity to include intrapreneurial initiatives led by clinicians, hospital managers and interdisciplinary teams. Studies highlight that digital entrepreneurship in medicine involves the design of innovative services such as teleconsultation, remote monitoring, algorithm-based diagnostics and integrated information platforms. These initiatives often rely on data intensive processes and collaborative networks rather than purely physical assets, which differentiates them from traditional medical ventures (Nambisan et al., 2019). Scholars argue that digital entrepreneurship changes not only what is produced but also how innovation is organised, funded and scaled in healthcare systems. The literature also notes that digital medical entrepreneurs must navigate clinical uncertainty, strict regulation and high expectations for safety and quality, which require strong governance and evidence-based evaluation (Weimar et al., 2025). This body of work underscores that digital entrepreneurship in medicine is a multidimensional concept that integrates technology, clinical expertise and business acumen. This reinforces the need for evidence-based design, implementation and evaluation. This broader interpretation is especially relevant in established healthcare organisations, where entrepreneurial activity may occur through service </w:t>
      </w:r>
      <w:r w:rsidRPr="005968BF">
        <w:rPr>
          <w:sz w:val="24"/>
          <w:szCs w:val="24"/>
        </w:rPr>
        <w:lastRenderedPageBreak/>
        <w:t>redesign, internal innovation teams and partnerships rather than through the creation of independent start-up firms.</w:t>
      </w:r>
    </w:p>
    <w:p w14:paraId="0ABF9DD4" w14:textId="77777777" w:rsidR="005968BF" w:rsidRPr="005968BF" w:rsidRDefault="005968BF" w:rsidP="005968BF">
      <w:pPr>
        <w:spacing w:after="0"/>
        <w:jc w:val="both"/>
        <w:rPr>
          <w:sz w:val="24"/>
          <w:szCs w:val="24"/>
        </w:rPr>
      </w:pPr>
    </w:p>
    <w:p w14:paraId="737C5907" w14:textId="34E01AC5" w:rsidR="005968BF" w:rsidRDefault="005968BF" w:rsidP="005968BF">
      <w:pPr>
        <w:spacing w:after="0"/>
        <w:jc w:val="both"/>
        <w:rPr>
          <w:sz w:val="24"/>
          <w:szCs w:val="24"/>
        </w:rPr>
      </w:pPr>
      <w:r w:rsidRPr="005968BF">
        <w:rPr>
          <w:sz w:val="24"/>
          <w:szCs w:val="24"/>
        </w:rPr>
        <w:t>A substantial stream of research emphasises the capability perspective on digital entrepreneurship in healthcare (Mishra &amp; Pandey, 2023). From this viewpoint, successful digital entrepreneurs cultivate dynamic capabilities that enable rapid sensing of technological opportunities, timely seizing of promising solutions and continuous reconfiguration of resources as conditions evolve. In medical settings, such capabilities are closely linked to the integration of clinical knowledge with digital design skills, user centred innovation processes and agile project management. Empirical studies show that organisations with strong digital capabilities are better positioned to experiment with new care models, evaluate prototypes and scale successful solutions across departments and locations. At the same time, the literature highlights that capability development is constrained by resource limitations, competing priorities and institutional inertia in many hospitals (Yusof et al., 2020). Researchers therefore call for more attention to leadership development, cross functional training and interorganisational partnerships that can strengthen digital entrepreneurial capabilities within the medical sector. These insights inform the present study’s focus on how entrepreneurial use of technology influences clinical operations and patient engagement (Vial, 2019). This distinction supports clearer evaluation of entrepreneurial value in complex medical settings. Accordingly, the concept is most useful when it captures both opportunity creation and implementation capability, since medical innovation must move from an idea into dependable routines that clinicians and patients can use with confidence. This strengthens the analytical connection between technological change, organisational practice and the quality of care delivered.</w:t>
      </w:r>
    </w:p>
    <w:p w14:paraId="146FD860" w14:textId="77777777" w:rsidR="005968BF" w:rsidRPr="005968BF" w:rsidRDefault="005968BF" w:rsidP="005968BF">
      <w:pPr>
        <w:spacing w:after="0"/>
        <w:jc w:val="both"/>
        <w:rPr>
          <w:sz w:val="24"/>
          <w:szCs w:val="24"/>
        </w:rPr>
      </w:pPr>
    </w:p>
    <w:p w14:paraId="04704BF2" w14:textId="74168E87" w:rsidR="005968BF" w:rsidRPr="005968BF" w:rsidRDefault="005968BF" w:rsidP="005968BF">
      <w:pPr>
        <w:jc w:val="both"/>
        <w:rPr>
          <w:b/>
          <w:bCs/>
          <w:sz w:val="24"/>
          <w:szCs w:val="24"/>
        </w:rPr>
      </w:pPr>
      <w:r w:rsidRPr="005968BF">
        <w:rPr>
          <w:b/>
          <w:bCs/>
          <w:sz w:val="24"/>
          <w:szCs w:val="24"/>
        </w:rPr>
        <w:t>2.2 Digital Technologies and the Transformation of Clinical Operations</w:t>
      </w:r>
    </w:p>
    <w:p w14:paraId="631E33B1" w14:textId="1FF837C8" w:rsidR="005968BF" w:rsidRDefault="005968BF" w:rsidP="005968BF">
      <w:pPr>
        <w:spacing w:after="0"/>
        <w:jc w:val="both"/>
        <w:rPr>
          <w:sz w:val="24"/>
          <w:szCs w:val="24"/>
        </w:rPr>
      </w:pPr>
      <w:r w:rsidRPr="005968BF">
        <w:rPr>
          <w:sz w:val="24"/>
          <w:szCs w:val="24"/>
        </w:rPr>
        <w:t>Research on digital technologies in clinical operations emphasises their potential to enhance efficiency, reliability and coordination in complex healthcare processes (Boonstra &amp; Broekhuis, 2010). Electronic health records, clinical decision support systems, predictive analytics and automated workflow tools have been widely studied as mechanisms for reducing duplication, shortening waiting times and improving documentation quality. Scholars report that digital systems can provide real time visibility of patient status, resource utilisation and care pathways, which supports more informed scheduling and triage decisions. Studies also suggest that artificial intelligence enabled tools can assist clinicians in diagnostic reasoning and risk stratification while preserving professional autonomy when appropriately designed. However, the literature warns that poorly integrated technologies may increase cognitive burden or introduce new safety risks, especially when user interfaces are not aligned with clinical workflows (Cresswell et al., 2013). Consequently, research recommends iterative design processes that involve clinicians and operational leaders from early stages of development. Operational improvement consequently requires attention to tasks, people, information flows, interfaces and organisational rules as an interconnected work system (Yusof &amp; Abd Wahab, 2020a). This systems perspective is essential for reliable clinical implementation. The operational value of these technologies is therefore contingent on how effectively they are connected to existing clinical pathways, decision rights and information requirements across different professional groups. This strengthens the analytical connection between technological change, organisational practice and the quality of care delivered.</w:t>
      </w:r>
    </w:p>
    <w:p w14:paraId="1080B658" w14:textId="77777777" w:rsidR="005968BF" w:rsidRPr="005968BF" w:rsidRDefault="005968BF" w:rsidP="005968BF">
      <w:pPr>
        <w:spacing w:after="0"/>
        <w:jc w:val="both"/>
        <w:rPr>
          <w:sz w:val="24"/>
          <w:szCs w:val="24"/>
        </w:rPr>
      </w:pPr>
    </w:p>
    <w:p w14:paraId="18B1F0A9" w14:textId="25EB7074" w:rsidR="005968BF" w:rsidRDefault="005968BF" w:rsidP="005968BF">
      <w:pPr>
        <w:spacing w:after="0"/>
        <w:jc w:val="both"/>
        <w:rPr>
          <w:sz w:val="24"/>
          <w:szCs w:val="24"/>
        </w:rPr>
      </w:pPr>
      <w:r w:rsidRPr="005968BF">
        <w:rPr>
          <w:sz w:val="24"/>
          <w:szCs w:val="24"/>
        </w:rPr>
        <w:lastRenderedPageBreak/>
        <w:t>Another stream of work examines the impact of digital innovation on coordination across units and organisations (Holden et al., 2013). Integrated platforms and interoperability standards allow different departments, primary care providers and specialists to share information more seamlessly, thereby supporting continuity of care. Studies in emergency departments and intensive care units show that digital tools that provide shared situational awareness can improve handovers, reduce delays and support rapid team based decision making. The literature also highlights the role of analytics in forecasting demand, detecting bottlenecks and optimising resource allocation across wards and clinics. These capabilities are particularly important in environments facing fluctuating patient volumes and limited staff availability (Sittig &amp; Singh, 2010). Nevertheless, research notes that technological solutions alone do not guarantee better operations. Gains are realised when digital entrepreneurship integrates technological innovation with process redesign, staff training and performance measurement systems. This reinforces the need to examine digital entrepreneurship as an organisational phenomenon that reshapes clinical operations rather than as isolated technological adoption (Yusof &amp; Abd Wahab, 2020c). Operational improvement consequently requires attention to tasks, people, information flows, interfaces and organisational rules as an interconnected work system. Such coordination becomes particularly important when digital tools cross departmental boundaries, because fragmented implementation can shift workload between units rather than producing genuine improvements in system-wide performance. This strengthens the analytical connection between technological change, organisational practice and the quality of care delivered.</w:t>
      </w:r>
    </w:p>
    <w:p w14:paraId="5445DC78" w14:textId="77777777" w:rsidR="005968BF" w:rsidRPr="005968BF" w:rsidRDefault="005968BF" w:rsidP="005968BF">
      <w:pPr>
        <w:spacing w:after="0"/>
        <w:jc w:val="both"/>
        <w:rPr>
          <w:sz w:val="24"/>
          <w:szCs w:val="24"/>
        </w:rPr>
      </w:pPr>
    </w:p>
    <w:p w14:paraId="7D6A3152" w14:textId="77777777" w:rsidR="005968BF" w:rsidRPr="005968BF" w:rsidRDefault="005968BF" w:rsidP="005968BF">
      <w:pPr>
        <w:jc w:val="both"/>
        <w:rPr>
          <w:b/>
          <w:bCs/>
          <w:sz w:val="24"/>
          <w:szCs w:val="24"/>
        </w:rPr>
      </w:pPr>
      <w:r w:rsidRPr="005968BF">
        <w:rPr>
          <w:b/>
          <w:bCs/>
          <w:sz w:val="24"/>
          <w:szCs w:val="24"/>
        </w:rPr>
        <w:t>2.3 Digital Platforms and Patient Engagement</w:t>
      </w:r>
    </w:p>
    <w:p w14:paraId="6DF32440" w14:textId="49C70BE0" w:rsidR="005968BF" w:rsidRDefault="005968BF" w:rsidP="005968BF">
      <w:pPr>
        <w:spacing w:after="0"/>
        <w:jc w:val="both"/>
        <w:rPr>
          <w:sz w:val="24"/>
          <w:szCs w:val="24"/>
        </w:rPr>
      </w:pPr>
      <w:r w:rsidRPr="005968BF">
        <w:rPr>
          <w:sz w:val="24"/>
          <w:szCs w:val="24"/>
        </w:rPr>
        <w:t>Patient engagement is widely recognised as a central outcome and driver of healthcare quality (Irizarry et al., 2015). The literature shows that digital platforms provide new mechanisms for patients to access information, communicate with clinicians and manage their own health behaviours. Mobile health applications, patient portals, chat-based consultation services and remote monitoring solutions enable continuous interaction beyond the clinic environment. Studies report that such tools can improve adherence to treatment, increase patient satisfaction and support early detection of complications, particularly for chronic conditions. Digital entrepreneurs design these platforms with features such as personalised reminders, educational content, behavioural nudges and visual dashboards that make medical information more understandable and actionable (Yusof, Abdul Razak, et al., 2025). The literature also emphasises the importance of usability, accessibility and cultural sensitivity, since patients vary in digital literacy, language preferences and health beliefs. Without careful design, digital engagement initiatives may unintentionally widen disparities. The entrepreneurial opportunity is strongest when digital channels extend participation while preserving alternatives for people who face limitations in connectivity, literacy or confidence (Norman &amp; Skinner, 2006). These conditions are central to durable and equitable participation. Engagement should therefore be interpreted through the quality and continuity of participation, not merely through log-ins, downloads or other activity measures that reveal little about whether patients can use digital services meaningfully. This strengthens the analytical connection between technological change, organisational practice and the quality of care delivered.</w:t>
      </w:r>
    </w:p>
    <w:p w14:paraId="741F79A5" w14:textId="77777777" w:rsidR="005968BF" w:rsidRPr="005968BF" w:rsidRDefault="005968BF" w:rsidP="005968BF">
      <w:pPr>
        <w:spacing w:after="0"/>
        <w:jc w:val="both"/>
        <w:rPr>
          <w:sz w:val="24"/>
          <w:szCs w:val="24"/>
        </w:rPr>
      </w:pPr>
    </w:p>
    <w:p w14:paraId="23C2A90F" w14:textId="6C82D084" w:rsidR="005968BF" w:rsidRDefault="005968BF" w:rsidP="005968BF">
      <w:pPr>
        <w:spacing w:after="0"/>
        <w:jc w:val="both"/>
        <w:rPr>
          <w:sz w:val="24"/>
          <w:szCs w:val="24"/>
        </w:rPr>
      </w:pPr>
      <w:r w:rsidRPr="005968BF">
        <w:rPr>
          <w:sz w:val="24"/>
          <w:szCs w:val="24"/>
        </w:rPr>
        <w:t xml:space="preserve">Research on co creation and participatory design further deepens understanding of digital patient engagement (Richardson et al., 2022). Several studies advocate involving patients, caregivers and community representatives in the development of digital tools to ensure that they address real needs and preferences. Empirical evidence suggests that co designed interventions are more likely to be </w:t>
      </w:r>
      <w:r w:rsidRPr="005968BF">
        <w:rPr>
          <w:sz w:val="24"/>
          <w:szCs w:val="24"/>
        </w:rPr>
        <w:lastRenderedPageBreak/>
        <w:t>trusted, regularly used and integrated into daily life. Scholars also examine the integration of patient generated data into clinical decision making, noting that wearable devices and self-reporting applications can enrich clinicians’ understanding of symptoms, behaviours and environmental factors. However, challenges remain regarding data quality, interpretation and liability when large volumes of patient generated information are incorporated into care (Zaini et al., 2026). The literature therefore calls for frameworks that clarify responsibilities and define how digital patient engagement can be ethically and safely embedded into professional practice. These insights highlight the crucial role of digital entrepreneurship in shaping tools and governance arrangements that support meaningful engagement (Zhang &amp; Zhang, 2022). Engagement should therefore be assessed through meaningful participation, comprehension, trust and sustained use rather than through log-ins or downloads alone. Participatory design strengthens this relationship by allowing patients to influence how information, interfaces and communication processes are structured, which can improve the practical relevance of technology across different user circumstances. This strengthens the analytical connection between technological change, organisational practice and the quality of care delivered.</w:t>
      </w:r>
    </w:p>
    <w:p w14:paraId="7186547B" w14:textId="77777777" w:rsidR="005968BF" w:rsidRPr="005968BF" w:rsidRDefault="005968BF" w:rsidP="005968BF">
      <w:pPr>
        <w:spacing w:after="0"/>
        <w:jc w:val="both"/>
        <w:rPr>
          <w:sz w:val="24"/>
          <w:szCs w:val="24"/>
        </w:rPr>
      </w:pPr>
    </w:p>
    <w:p w14:paraId="7DDC5706" w14:textId="77777777" w:rsidR="005968BF" w:rsidRPr="005968BF" w:rsidRDefault="005968BF" w:rsidP="005968BF">
      <w:pPr>
        <w:jc w:val="both"/>
        <w:rPr>
          <w:b/>
          <w:bCs/>
          <w:sz w:val="24"/>
          <w:szCs w:val="24"/>
        </w:rPr>
      </w:pPr>
      <w:r w:rsidRPr="005968BF">
        <w:rPr>
          <w:b/>
          <w:bCs/>
          <w:sz w:val="24"/>
          <w:szCs w:val="24"/>
        </w:rPr>
        <w:t>2.4 Business Models and Ecosystems in Digital Medical Innovation</w:t>
      </w:r>
    </w:p>
    <w:p w14:paraId="09037253" w14:textId="50DE20F7" w:rsidR="005968BF" w:rsidRDefault="005968BF" w:rsidP="005968BF">
      <w:pPr>
        <w:spacing w:after="0"/>
        <w:jc w:val="both"/>
        <w:rPr>
          <w:sz w:val="24"/>
          <w:szCs w:val="24"/>
        </w:rPr>
      </w:pPr>
      <w:r w:rsidRPr="005968BF">
        <w:rPr>
          <w:sz w:val="24"/>
          <w:szCs w:val="24"/>
        </w:rPr>
        <w:t>The literature on business models in digital health underscores that value creation and capture mechanisms are changing as technologies enable new forms of service delivery (Weimar et al., 2025). Platform based business models that connect patients, providers, payers and technology firms are increasingly prevalent in digital medicine. Scholars describe how these platforms generate value by orchestrating interactions, facilitating data sharing and enabling modular services such as diagnostics, logistics and follow up care. Revenue structures vary from subscription fees and pay per use models to outcome-based arrangements that link payment to clinical performance. Research suggests that sustainable digital business models in medicine must balance financial viability with regulatory compliance and ethical considerations, particularly regarding data use and patient privacy (Mishra &amp; Pandey, 2023). Digital entrepreneurs therefore must understand reimbursement environments, institutional purchasing processes and public expectations when designing their offerings. Scalability is therefore not simply a matter of adding users; it depends on interoperability, stakeholder alignment and the ability to maintain service quality as organisational complexity increases (Nambisan, 2017). These conditions determine whether innovation can move beyond a pilot. This reinforces the need for evidence-based design, implementation and evaluation. A viable model consequently needs to explain who receives value, who bears implementation costs and how benefits are converted into sustainable revenue without weakening clinical priorities or equitable access. This strengthens the analytical connection between technological change, organisational practice and the quality of care delivered.</w:t>
      </w:r>
    </w:p>
    <w:p w14:paraId="74A37699" w14:textId="77777777" w:rsidR="005968BF" w:rsidRPr="005968BF" w:rsidRDefault="005968BF" w:rsidP="005968BF">
      <w:pPr>
        <w:spacing w:after="0"/>
        <w:jc w:val="both"/>
        <w:rPr>
          <w:sz w:val="24"/>
          <w:szCs w:val="24"/>
        </w:rPr>
      </w:pPr>
    </w:p>
    <w:p w14:paraId="6445986A" w14:textId="4AC4D461" w:rsidR="005968BF" w:rsidRDefault="005968BF" w:rsidP="005968BF">
      <w:pPr>
        <w:spacing w:after="0"/>
        <w:jc w:val="both"/>
        <w:rPr>
          <w:sz w:val="24"/>
          <w:szCs w:val="24"/>
        </w:rPr>
      </w:pPr>
      <w:r w:rsidRPr="005968BF">
        <w:rPr>
          <w:sz w:val="24"/>
          <w:szCs w:val="24"/>
        </w:rPr>
        <w:t xml:space="preserve">Beyond individual organisations, studies examine the emergence of digital health ecosystems that involve universities, start-ups, hospitals, technology firms and regulators (Nambisan et al., 2019). These ecosystems support innovation through shared infrastructure, incubator programs, open data initiatives and collaborative research projects. The literature highlights that ecosystem governance is critical in determining who gains access to data, which standards are adopted and how risks are distributed among participants. Successful ecosystems often feature clear roles, trust-based relationships and supportive policy frameworks that encourage experimentation while safeguarding patients. At the same time, researchers caution that asymmetric power between large technology </w:t>
      </w:r>
      <w:r w:rsidRPr="005968BF">
        <w:rPr>
          <w:sz w:val="24"/>
          <w:szCs w:val="24"/>
        </w:rPr>
        <w:lastRenderedPageBreak/>
        <w:t>firms and public healthcare providers may influence priorities and limit transparency (Kraus et al., 2021). Understanding these dynamics is essential for analysing how digital entrepreneurship operates within broader socio technical environments. Scalability is therefore not simply a matter of adding users; it depends on interoperability, stakeholder alignment and the ability to maintain service quality as organisational complexity increases (Teece, 2007). Commercial viability in healthcare depends on evidence, reimbursement, integration and stakeholder trust, not simply on rapid user growth or technical scalability. This reinforces the need for evidence-based design, implementation and evaluation. Ecosystem dependence also means that venture performance cannot be understood at firm level alone, because interoperability, reimbursement, professional endorsement and institutional partnerships collectively influence adoption and scale. This strengthens the analytical connection between technological change, organisational practice and the quality of care delivered.</w:t>
      </w:r>
    </w:p>
    <w:p w14:paraId="7C146354" w14:textId="77777777" w:rsidR="005968BF" w:rsidRPr="005968BF" w:rsidRDefault="005968BF" w:rsidP="005968BF">
      <w:pPr>
        <w:spacing w:after="0"/>
        <w:jc w:val="both"/>
        <w:rPr>
          <w:sz w:val="24"/>
          <w:szCs w:val="24"/>
        </w:rPr>
      </w:pPr>
    </w:p>
    <w:p w14:paraId="526BBD77" w14:textId="0A506F27" w:rsidR="005968BF" w:rsidRPr="005968BF" w:rsidRDefault="005968BF" w:rsidP="005968BF">
      <w:pPr>
        <w:jc w:val="both"/>
        <w:rPr>
          <w:b/>
          <w:bCs/>
          <w:sz w:val="24"/>
          <w:szCs w:val="24"/>
        </w:rPr>
      </w:pPr>
      <w:r w:rsidRPr="005968BF">
        <w:rPr>
          <w:b/>
          <w:bCs/>
          <w:sz w:val="24"/>
          <w:szCs w:val="24"/>
        </w:rPr>
        <w:t>2.5 Organisational, Regulatory and Ethical Enablers and Barriers</w:t>
      </w:r>
    </w:p>
    <w:p w14:paraId="41BB2D8A" w14:textId="17D7710B" w:rsidR="005968BF" w:rsidRDefault="005968BF" w:rsidP="005968BF">
      <w:pPr>
        <w:spacing w:after="0"/>
        <w:jc w:val="both"/>
        <w:rPr>
          <w:sz w:val="24"/>
          <w:szCs w:val="24"/>
        </w:rPr>
      </w:pPr>
      <w:r w:rsidRPr="005968BF">
        <w:rPr>
          <w:sz w:val="24"/>
          <w:szCs w:val="24"/>
        </w:rPr>
        <w:t>A significant body of literature addresses organisational, regulatory and ethical factors that enable or constrain digital entrepreneurship in medicine (Yusof &amp; Abd Wahab, 2020b). Organisational culture and leadership are frequently cited as central influences on digital innovation. Studies show that hospitals with supportive leadership, clear digital strategies and open communication are more likely to implement and sustain digital initiatives. Conversely, hierarchical cultures and siloed structures tend to inhibit cross functional collaboration and slow decision making. Workforce readiness is another recurring theme, as clinicians and support staff require training, protected time and incentives to adopt new tools (Vayena et al., 2018). Research indicates that inadequate change management can lead to resistance, partial use or abandonment of digital systems. These findings encourage organisations to invest in capability building and participatory implementation approaches. Clear accountability and transparent evaluation help organisations balance experimentation with the ethical and regulatory obligations that distinguish medical innovation from many other digital markets (Wiens et al., 2019). Capability development is equally important because leaders and clinical professionals need sufficient digital understanding to question, evaluate and improve technology enabled processes. This reinforces the need for evidence-based design, implementation and evaluation. Organisational readiness therefore extends beyond technical infrastructure to include leadership commitment, workforce capability, cross-functional coordination and clear responsibility for decisions made through digital systems. This strengthens the analytical connection between technological change, organisational practice and the quality of care delivered.</w:t>
      </w:r>
    </w:p>
    <w:p w14:paraId="3F186EA4" w14:textId="77777777" w:rsidR="005968BF" w:rsidRPr="005968BF" w:rsidRDefault="005968BF" w:rsidP="005968BF">
      <w:pPr>
        <w:spacing w:after="0"/>
        <w:jc w:val="both"/>
        <w:rPr>
          <w:sz w:val="24"/>
          <w:szCs w:val="24"/>
        </w:rPr>
      </w:pPr>
    </w:p>
    <w:p w14:paraId="44CEE4F1" w14:textId="27595389" w:rsidR="005968BF" w:rsidRDefault="005968BF" w:rsidP="005968BF">
      <w:pPr>
        <w:spacing w:after="0"/>
        <w:jc w:val="both"/>
        <w:rPr>
          <w:sz w:val="24"/>
          <w:szCs w:val="24"/>
        </w:rPr>
      </w:pPr>
      <w:r w:rsidRPr="005968BF">
        <w:rPr>
          <w:sz w:val="24"/>
          <w:szCs w:val="24"/>
        </w:rPr>
        <w:t xml:space="preserve">Regulatory and ethical dimensions have also attracted significant scholarly attention (Yusof &amp; Abd Wahab, 2021). Data protection laws, medical device regulations and professional guidelines shape the possibilities and constraints of digital entrepreneurship in medicine. Scholars highlight the need for adaptive regulation that can respond to rapidly evolving technologies while maintaining safety, accountability and equity. Ethical discussions focus on informed consent, algorithmic transparency, accountability for automated decisions and fairness in access to digital services. There is growing concern that unequal access to devices and connectivity may reinforce existing health inequities if not addressed through inclusive design and policy measures (Obermeyer et al., 2019). The literature therefore calls for integrated approaches in which digital entrepreneurship is guided by robust ethical frameworks and collaborative governance mechanisms. These insights support the argument that technological innovation, clinical operations and patient engagement must be considered together </w:t>
      </w:r>
      <w:r w:rsidRPr="005968BF">
        <w:rPr>
          <w:sz w:val="24"/>
          <w:szCs w:val="24"/>
        </w:rPr>
        <w:lastRenderedPageBreak/>
        <w:t>when assessing digital entrepreneurship in medicine. Clear accountability and transparent evaluation help organisations balance experimentation with the ethical and regulatory obligations that distinguish medical innovation from many other digital markets (Rieke et al., 2020). These safeguards are essential for trustworthy clinical adoption. Ethical and regulatory safeguards are most effective when incorporated during design and implementation, allowing innovation teams to identify risks early rather than treating governance as a compliance exercise after deployment. This strengthens the analytical connection between technological change, organisational practice and the quality of care delivered.</w:t>
      </w:r>
    </w:p>
    <w:p w14:paraId="28E66CF6" w14:textId="77777777" w:rsidR="005968BF" w:rsidRPr="005968BF" w:rsidRDefault="005968BF" w:rsidP="005968BF">
      <w:pPr>
        <w:spacing w:after="0"/>
        <w:jc w:val="both"/>
        <w:rPr>
          <w:sz w:val="24"/>
          <w:szCs w:val="24"/>
        </w:rPr>
      </w:pPr>
    </w:p>
    <w:p w14:paraId="5031DB46" w14:textId="77777777" w:rsidR="005968BF" w:rsidRPr="005968BF" w:rsidRDefault="005968BF" w:rsidP="005968BF">
      <w:pPr>
        <w:jc w:val="both"/>
        <w:rPr>
          <w:b/>
          <w:bCs/>
          <w:sz w:val="24"/>
          <w:szCs w:val="24"/>
        </w:rPr>
      </w:pPr>
      <w:r w:rsidRPr="005968BF">
        <w:rPr>
          <w:b/>
          <w:bCs/>
          <w:sz w:val="24"/>
          <w:szCs w:val="24"/>
        </w:rPr>
        <w:t>3. STRUCTURAL BARRIERS TO DIGITAL ENTREPRENEURSHIP IN MEDICAL SYSTEMS</w:t>
      </w:r>
    </w:p>
    <w:p w14:paraId="23B5F196" w14:textId="71694593" w:rsidR="005968BF" w:rsidRDefault="005968BF" w:rsidP="005968BF">
      <w:pPr>
        <w:spacing w:after="0"/>
        <w:jc w:val="both"/>
        <w:rPr>
          <w:sz w:val="24"/>
          <w:szCs w:val="24"/>
        </w:rPr>
      </w:pPr>
      <w:r w:rsidRPr="005968BF">
        <w:rPr>
          <w:sz w:val="24"/>
          <w:szCs w:val="24"/>
        </w:rPr>
        <w:t>The expansion of digital entrepreneurship has created substantial opportunities for medical innovation, but its development remains constrained by structural and organisational barriers. Healthcare systems are complex environments in which new technologies must coexist with established clinical routines, professional responsibilities, regulatory requirements and diverse patient needs. Greenhalgh et al. (2017) show that adoption alone does not ensure the long-term sustainability of health technologies, particularly when implementation conditions are poorly aligned with organisational realities. Similar concerns are evident in the integration of digital systems into clinical work, where workflow disruption and usability problems can reduce expected benefits (Cresswell et al., 2013). Strategic fragmentation, unequal digital participation, fragile business models and governance limitations consequently influence whether entrepreneurial initiatives can progress beyond experimentation and generate durable clinical value across healthcare organisations and patient populations.</w:t>
      </w:r>
    </w:p>
    <w:p w14:paraId="6E9F1322" w14:textId="77777777" w:rsidR="005968BF" w:rsidRPr="005968BF" w:rsidRDefault="005968BF" w:rsidP="005968BF">
      <w:pPr>
        <w:spacing w:after="0"/>
        <w:jc w:val="both"/>
        <w:rPr>
          <w:sz w:val="24"/>
          <w:szCs w:val="24"/>
        </w:rPr>
      </w:pPr>
    </w:p>
    <w:p w14:paraId="1601C337" w14:textId="77777777" w:rsidR="005968BF" w:rsidRPr="005968BF" w:rsidRDefault="005968BF" w:rsidP="005968BF">
      <w:pPr>
        <w:jc w:val="both"/>
        <w:rPr>
          <w:b/>
          <w:bCs/>
          <w:sz w:val="24"/>
          <w:szCs w:val="24"/>
        </w:rPr>
      </w:pPr>
      <w:r w:rsidRPr="005968BF">
        <w:rPr>
          <w:b/>
          <w:bCs/>
          <w:sz w:val="24"/>
          <w:szCs w:val="24"/>
        </w:rPr>
        <w:t>3.1 Conceptual and Strategic Fragmentation of Digital Entrepreneurship in Medicine</w:t>
      </w:r>
    </w:p>
    <w:p w14:paraId="5CAABF8A" w14:textId="1C767B46" w:rsidR="005968BF" w:rsidRDefault="005968BF" w:rsidP="005968BF">
      <w:pPr>
        <w:spacing w:after="0"/>
        <w:jc w:val="both"/>
        <w:rPr>
          <w:sz w:val="24"/>
          <w:szCs w:val="24"/>
        </w:rPr>
      </w:pPr>
      <w:r w:rsidRPr="005968BF">
        <w:rPr>
          <w:sz w:val="24"/>
          <w:szCs w:val="24"/>
        </w:rPr>
        <w:t>Strategic fragmentation remains a persistent challenge in the way digital entrepreneurship is conceptualised and positioned within healthcare systems (Yusof, 2026). While digital entrepreneurship is often defined as the creation of new ventures or services based on digital technologies, studies show that in healthcare this concept is interpreted inconsistently across actors and settings. Some organisations treat digital entrepreneurship as a narrow start up activity located at the periphery of the system, whereas others frame it as an internal process of continuous innovation and improvement. This conceptual fragmentation leads to divergent expectations regarding objectives, timescales and success indicators (Greenhalgh et al., 2004). In some cases, digital initiatives are evaluated primarily on financial or adoption metrics rather than their contribution to clinical value or patient experience. Furthermore, strategic documents often use broad language about digital transformation without specifying how entrepreneurial activities should align with clinical priorities, workforce development and population health goals (Nambisan, 2017). As a result, digital entrepreneurship risks becoming an isolated agenda driven by technology enthusiasts rather than an integrated component of organisational strategy. Conceptual clarity also helps distinguish entrepreneurial experimentation from routine digitisation and creates a stronger basis for comparing initiatives across settings. Without a shared strategic interpretation, organisations may pursue disconnected projects with different success measures, making it difficult to compare initiatives, allocate resources or determine whether innovation is improving clinical value.</w:t>
      </w:r>
    </w:p>
    <w:p w14:paraId="0863F14B" w14:textId="77777777" w:rsidR="005968BF" w:rsidRPr="005968BF" w:rsidRDefault="005968BF" w:rsidP="005968BF">
      <w:pPr>
        <w:spacing w:after="0"/>
        <w:jc w:val="both"/>
        <w:rPr>
          <w:sz w:val="24"/>
          <w:szCs w:val="24"/>
        </w:rPr>
      </w:pPr>
    </w:p>
    <w:p w14:paraId="1D82F191" w14:textId="706E8A3F" w:rsidR="005968BF" w:rsidRDefault="005968BF" w:rsidP="005968BF">
      <w:pPr>
        <w:spacing w:after="0"/>
        <w:jc w:val="both"/>
        <w:rPr>
          <w:sz w:val="24"/>
          <w:szCs w:val="24"/>
        </w:rPr>
      </w:pPr>
      <w:r w:rsidRPr="005968BF">
        <w:rPr>
          <w:sz w:val="24"/>
          <w:szCs w:val="24"/>
        </w:rPr>
        <w:lastRenderedPageBreak/>
        <w:t>A related conceptual issue is the limited integration of entrepreneurship theory with clinical science and health services research (Nambisan et al., 2019). Much of the entrepreneurship literature focuses on opportunity recognition, resource orchestration and market competition, whereas healthcare research prioritises safety, equity and evidence-based practice. The absence of shared conceptual frameworks means that stakeholders may talk past one another when planning digital initiatives. For example, digital entrepreneurs may emphasise rapid experimentation and pivoting, while clinical leaders stress the need for standardisation and robust evaluation before widespread deployment. This misalignment can generate frustration and slow decision making, particularly in large hospitals with complex governance structures (Weimar et al., 2025). Scholars argue that without clear theoretical integration, it is difficult to design digital ventures that simultaneously satisfy entrepreneurial, clinical and regulatory logics. The literature therefore highlights a need for more interdisciplinary work that clarifies how concepts such as value creation, risk and success should be understood when digital entrepreneurship operates inside safety critical medical environments (Mishra &amp; Pandey, 2023). This distinction supports clearer evaluation of entrepreneurial value in complex medical settings. This reinforces the need for evidence-based design, implementation and evaluation. The resulting tension is not simply theoretical; it affects how quickly organisations can experiment, what evidence they require before scaling and how responsibilities are distributed among entrepreneurs, clinicians and governance teams.</w:t>
      </w:r>
    </w:p>
    <w:p w14:paraId="5BBA8095" w14:textId="77777777" w:rsidR="005968BF" w:rsidRPr="005968BF" w:rsidRDefault="005968BF" w:rsidP="005968BF">
      <w:pPr>
        <w:spacing w:after="0"/>
        <w:jc w:val="both"/>
        <w:rPr>
          <w:sz w:val="24"/>
          <w:szCs w:val="24"/>
        </w:rPr>
      </w:pPr>
    </w:p>
    <w:p w14:paraId="437A18C0" w14:textId="77777777" w:rsidR="005968BF" w:rsidRPr="005968BF" w:rsidRDefault="005968BF" w:rsidP="005968BF">
      <w:pPr>
        <w:jc w:val="both"/>
        <w:rPr>
          <w:b/>
          <w:bCs/>
          <w:sz w:val="24"/>
          <w:szCs w:val="24"/>
        </w:rPr>
      </w:pPr>
      <w:r w:rsidRPr="005968BF">
        <w:rPr>
          <w:b/>
          <w:bCs/>
          <w:sz w:val="24"/>
          <w:szCs w:val="24"/>
        </w:rPr>
        <w:t>3.2 Integration Challenges within Clinical Operations</w:t>
      </w:r>
    </w:p>
    <w:p w14:paraId="3E1445C2" w14:textId="74D9F5D3" w:rsidR="005968BF" w:rsidRDefault="005968BF" w:rsidP="005968BF">
      <w:pPr>
        <w:spacing w:after="0"/>
        <w:jc w:val="both"/>
        <w:rPr>
          <w:sz w:val="24"/>
          <w:szCs w:val="24"/>
        </w:rPr>
      </w:pPr>
      <w:r w:rsidRPr="005968BF">
        <w:rPr>
          <w:sz w:val="24"/>
          <w:szCs w:val="24"/>
        </w:rPr>
        <w:t>Integrating digital entrepreneurial solutions into everyday clinical operations remains a major implementation challenge for healthcare organisations (Bates et al., 2014). Studies on digitalising healthcare operations show that many tools are developed with promising functionality but prove difficult to embed into existing workflows. Clinical processes have evolved over long periods and embody tacit routines, professional norms and regulatory requirements. When digital solutions are introduced without careful process redesign, they can create additional steps, duplicate data entry or fragment communication, thereby increasing rather than reducing workload. Empirical accounts of hospital implementations describe situations in which clinicians’ resort to workarounds or parallel paper systems because digital tools do not match the realities of patient care (Esteva et al., 2019). These integration problems undermine both operational performance and staff confidence in new technologies. When these elements are aligned, digital entrepreneurship can improve responsiveness while creating a stronger foundation for learning, resource coordination and service reliability. Operational improvement consequently requires attention to tasks, people, information flows, interfaces and organisational rules as an interconnected work system (Rajkomar et al., 2019). This systems perspective is essential for reliable clinical implementation. Workflow misalignment can therefore create hidden operational costs, particularly when clinicians must maintain parallel systems, repeat documentation or reconcile information that is not available within the normal sequence of care. This strengthens the analytical connection between technological change, organisational practice and the quality of care delivered.</w:t>
      </w:r>
    </w:p>
    <w:p w14:paraId="68B8857A" w14:textId="77777777" w:rsidR="005968BF" w:rsidRPr="005968BF" w:rsidRDefault="005968BF" w:rsidP="005968BF">
      <w:pPr>
        <w:spacing w:after="0"/>
        <w:jc w:val="both"/>
        <w:rPr>
          <w:sz w:val="24"/>
          <w:szCs w:val="24"/>
        </w:rPr>
      </w:pPr>
    </w:p>
    <w:p w14:paraId="2AC4EC4F" w14:textId="09849566" w:rsidR="005968BF" w:rsidRDefault="005968BF" w:rsidP="005968BF">
      <w:pPr>
        <w:spacing w:after="0"/>
        <w:jc w:val="both"/>
        <w:rPr>
          <w:sz w:val="24"/>
          <w:szCs w:val="24"/>
        </w:rPr>
      </w:pPr>
      <w:r w:rsidRPr="005968BF">
        <w:rPr>
          <w:sz w:val="24"/>
          <w:szCs w:val="24"/>
        </w:rPr>
        <w:t xml:space="preserve">Interoperability and data quality remain persistent technical facets of this integration issue (Kelly et al., 2019). Even where digital entrepreneurship yields innovative applications, they often connect poorly with core electronic health record systems or with external providers and laboratories. Fragmented data flows limit the ability of analytics to support resource planning, triage or predictive risk modelling, which were central promises of digital transformation. In contrast, case examples of </w:t>
      </w:r>
      <w:r w:rsidRPr="005968BF">
        <w:rPr>
          <w:sz w:val="24"/>
          <w:szCs w:val="24"/>
        </w:rPr>
        <w:lastRenderedPageBreak/>
        <w:t>fully digital hospitals, such as paperless institutions that report improved documentation accuracy and operational efficiency, illustrate the benefits when integration is achieved through coordinated investment and long-term planning. However, the literature suggests that such cases remain the exception rather than the norm (Golinelli et al., 2020). Many organisations lack the technical and managerial capacity required to harmonise systems, standardise data and maintain change momentum. As a result, the full operational potential of digital entrepreneurship often remains unrealised. When these elements are aligned, digital entrepreneurship can improve responsiveness while creating a stronger foundation for learning, resource coordination and service reliability (Topol, 2019). This systems perspective is essential for reliable clinical implementation. This reinforces the need for evidence-based design, implementation and evaluation. Poor interoperability further limits the usefulness of digital innovation because information that cannot move reliably between systems may remain unavailable at the moment when clinical teams need it for coordinated decisions.</w:t>
      </w:r>
    </w:p>
    <w:p w14:paraId="3E641BCF" w14:textId="77777777" w:rsidR="005968BF" w:rsidRPr="005968BF" w:rsidRDefault="005968BF" w:rsidP="005968BF">
      <w:pPr>
        <w:spacing w:after="0"/>
        <w:jc w:val="both"/>
        <w:rPr>
          <w:sz w:val="24"/>
          <w:szCs w:val="24"/>
        </w:rPr>
      </w:pPr>
    </w:p>
    <w:p w14:paraId="5FAA5B74" w14:textId="77777777" w:rsidR="005968BF" w:rsidRPr="005968BF" w:rsidRDefault="005968BF" w:rsidP="005968BF">
      <w:pPr>
        <w:jc w:val="both"/>
        <w:rPr>
          <w:b/>
          <w:bCs/>
          <w:sz w:val="24"/>
          <w:szCs w:val="24"/>
        </w:rPr>
      </w:pPr>
      <w:r w:rsidRPr="005968BF">
        <w:rPr>
          <w:b/>
          <w:bCs/>
          <w:sz w:val="24"/>
          <w:szCs w:val="24"/>
        </w:rPr>
        <w:t>3.3 Persistent Inequities and Limitations in Digital Patient Engagement</w:t>
      </w:r>
    </w:p>
    <w:p w14:paraId="2583594B" w14:textId="13EE715A" w:rsidR="005968BF" w:rsidRDefault="005968BF" w:rsidP="005968BF">
      <w:pPr>
        <w:spacing w:after="0"/>
        <w:jc w:val="both"/>
        <w:rPr>
          <w:sz w:val="24"/>
          <w:szCs w:val="24"/>
        </w:rPr>
      </w:pPr>
      <w:r w:rsidRPr="005968BF">
        <w:rPr>
          <w:sz w:val="24"/>
          <w:szCs w:val="24"/>
        </w:rPr>
        <w:t>Unequal access and participation continue to limit the impact of digital entrepreneurship on patient engagement across different population groups (Yamin et al., 2011). While digital tools have expanded possibilities for remote access and self-management, evidence shows that benefits are not distributed evenly across patient groups. Telemedicine and digital portals can improve satisfaction and adherence, but they often require stable internet access, digital literacy and confidence in interacting with technology. Populations with lower income, older age or limited education may face significant barriers in using these solutions, which risks widening existing health disparities. Studies of digital patient engagement highlight that while leading providers are building sophisticated digital ecosystems, many patients remain only partially engaged or are excluded entirely from these innovations (Wilcock et al., 2019). This divergence between advanced digital services and heterogeneous patient capabilities represents a critical equity issue for digital entrepreneurship in medicine. The entrepreneurial opportunity is strongest when digital channels extend participation while preserving alternatives for people who face limitations in connectivity, literacy or confidence (Kruse et al., 2017). Engagement should therefore be assessed through meaningful participation, comprehension, trust and sustained use rather than through log-ins or downloads alone. Digital exclusion can consequently transform a service intended to widen access into another source of inequality when users lack suitable devices, connectivity, language support, digital literacy or confidence in remote interactions.</w:t>
      </w:r>
    </w:p>
    <w:p w14:paraId="3D7F57D9" w14:textId="77777777" w:rsidR="005968BF" w:rsidRPr="005968BF" w:rsidRDefault="005968BF" w:rsidP="005968BF">
      <w:pPr>
        <w:spacing w:after="0"/>
        <w:jc w:val="both"/>
        <w:rPr>
          <w:sz w:val="24"/>
          <w:szCs w:val="24"/>
        </w:rPr>
      </w:pPr>
    </w:p>
    <w:p w14:paraId="3B055828" w14:textId="5959E49D" w:rsidR="005968BF" w:rsidRDefault="005968BF" w:rsidP="005968BF">
      <w:pPr>
        <w:spacing w:after="0"/>
        <w:jc w:val="both"/>
        <w:rPr>
          <w:sz w:val="24"/>
          <w:szCs w:val="24"/>
        </w:rPr>
      </w:pPr>
      <w:r w:rsidRPr="005968BF">
        <w:rPr>
          <w:sz w:val="24"/>
          <w:szCs w:val="24"/>
        </w:rPr>
        <w:t xml:space="preserve">In addition to access barriers, the quality and sustainability of engagement present further challenges (Irizarry et al., 2015). Research indicates that initial interest in mobile applications or teleconsultations may decline over time if users perceive limited value, experience technical difficulties or receive inconsistent communication from providers. Digital start ups sometimes prioritise rapid user acquisition but invest less in long term engagement strategies grounded in behavioural science and co design with patients. This can lead to high drop off rates and fragmented care, particularly for chronic conditions that require sustained monitoring and support (Perski et al., 2017). Moreover, clinicians may be uncertain about how to interpret and act on the growing volume of patient generated data, which can create frustration for both parties. The literature therefore identifies a need for digital entrepreneurs to move beyond basic access and convenience metrics and to design engagement models that are inclusive, clinically meaningful and sustainable over time </w:t>
      </w:r>
      <w:r w:rsidRPr="005968BF">
        <w:rPr>
          <w:sz w:val="24"/>
          <w:szCs w:val="24"/>
        </w:rPr>
        <w:lastRenderedPageBreak/>
        <w:t>(Norman &amp; Skinner, 2006). The entrepreneurial opportunity is strongest when digital channels extend participation while preserving alternatives for people who face limitations in connectivity, literacy or confidence. Inclusive design also requires non-digital alternatives and practical support for people whose connectivity, language, literacy or confidence limits participation. Engagement may also decline after initial adoption when platforms generate repetitive tasks, unclear benefits or weak feedback, showing why sustained participation requires continuing relevance rather than one-time technological acceptance.</w:t>
      </w:r>
    </w:p>
    <w:p w14:paraId="68A4517F" w14:textId="77777777" w:rsidR="005968BF" w:rsidRPr="005968BF" w:rsidRDefault="005968BF" w:rsidP="005968BF">
      <w:pPr>
        <w:spacing w:after="0"/>
        <w:jc w:val="both"/>
        <w:rPr>
          <w:sz w:val="24"/>
          <w:szCs w:val="24"/>
        </w:rPr>
      </w:pPr>
    </w:p>
    <w:p w14:paraId="5713BC10" w14:textId="77777777" w:rsidR="005968BF" w:rsidRPr="005968BF" w:rsidRDefault="005968BF" w:rsidP="005968BF">
      <w:pPr>
        <w:jc w:val="both"/>
        <w:rPr>
          <w:b/>
          <w:bCs/>
          <w:sz w:val="24"/>
          <w:szCs w:val="24"/>
        </w:rPr>
      </w:pPr>
      <w:r w:rsidRPr="005968BF">
        <w:rPr>
          <w:b/>
          <w:bCs/>
          <w:sz w:val="24"/>
          <w:szCs w:val="24"/>
        </w:rPr>
        <w:t>3.4 Fragility of Digital Health Business Models and Ecosystems</w:t>
      </w:r>
    </w:p>
    <w:p w14:paraId="2B22A13C" w14:textId="194E325B" w:rsidR="005968BF" w:rsidRDefault="005968BF" w:rsidP="005968BF">
      <w:pPr>
        <w:spacing w:after="0"/>
        <w:jc w:val="both"/>
        <w:rPr>
          <w:sz w:val="24"/>
          <w:szCs w:val="24"/>
        </w:rPr>
      </w:pPr>
      <w:r w:rsidRPr="005968BF">
        <w:rPr>
          <w:sz w:val="24"/>
          <w:szCs w:val="24"/>
        </w:rPr>
        <w:t>Economic sustainability and ecosystem dependence present critical challenges for digital entrepreneurship in medicine, particularly when ventures attempt to move beyond pilot implementation (Vial, 2019). Although there is considerable enthusiasm for digital health ventures, many start-ups face difficulties in achieving stable revenue and scaling beyond pilot projects. Reimbursement arrangements for digital services remain inconsistent across jurisdictions and payers, which complicates pricing models and investment decisions. Case reports of successful digital health companies show that growth often depends on favourable regulatory environments, strong partnerships with insurers or employers and the ability to integrate into existing care pathways. However, these conditions are not widely available, especially in resource constrained settings (Greenhalgh et al., 2004). As a result, promising innovations may fail to reach scale or may be absorbed by larger technology firms whose priorities do not always align with public health objectives. Scalability is therefore not simply a matter of adding users; it depends on interoperability, stakeholder alignment and the ability to maintain service quality as organisational complexity increases (Weimar et al., 2025). Commercial viability in healthcare depends on evidence, reimbursement, integration and stakeholder trust, not simply on rapid user growth or technical scalability. Financial vulnerability is intensified when payment structures reward activity differently from the clinical or operational value created by digital services, leaving ventures dependent on short funding cycles or uncertain institutional purchasing decisions.</w:t>
      </w:r>
    </w:p>
    <w:p w14:paraId="2E99E98F" w14:textId="77777777" w:rsidR="005968BF" w:rsidRPr="005968BF" w:rsidRDefault="005968BF" w:rsidP="005968BF">
      <w:pPr>
        <w:spacing w:after="0"/>
        <w:jc w:val="both"/>
        <w:rPr>
          <w:sz w:val="24"/>
          <w:szCs w:val="24"/>
        </w:rPr>
      </w:pPr>
    </w:p>
    <w:p w14:paraId="6A903217" w14:textId="26004E51" w:rsidR="005968BF" w:rsidRDefault="005968BF" w:rsidP="005968BF">
      <w:pPr>
        <w:spacing w:after="0"/>
        <w:jc w:val="both"/>
        <w:rPr>
          <w:sz w:val="24"/>
          <w:szCs w:val="24"/>
        </w:rPr>
      </w:pPr>
      <w:r w:rsidRPr="005968BF">
        <w:rPr>
          <w:sz w:val="24"/>
          <w:szCs w:val="24"/>
        </w:rPr>
        <w:t xml:space="preserve">Ecosystem governance presents additional challenges (Mishra &amp; Pandey, 2023). Analyses of public private partnerships in digital health highlight the complexity of aligning incentives among governments, donors, technology firms and healthcare providers. While such partnerships can mobilise capital and expertise, they also raise questions about data ownership, vendor lock in and accountability. Start-up success stories that leverage big data and artificial intelligence for predictive analytics and precision medicine demonstrate the potential of ecosystem collaboration. Yet the literature warns that concentration of data and analytic capacity in a small number of private actors may limit transparency and public oversight (Nambisan, 2017). These concerns point to an underlying fragility in the current digital health landscape, where entrepreneurial ventures depend heavily on external funding cycles and regulatory decisions that can change rapidly. For digital entrepreneurship to contribute reliably to clinical operations and patient engagement, more resilient and balanced ecosystem arrangements are needed (Nambisan et al., 2019). Scalability is therefore not simply a matter of adding users; it depends on interoperability, stakeholder alignment and the ability to maintain service quality as organisational complexity increases. This reinforces the need for evidence-based design, implementation and evaluation. Weak ecosystem coordination can also delay scaling because each organisation may apply different technical, procurement and governance </w:t>
      </w:r>
      <w:r w:rsidRPr="005968BF">
        <w:rPr>
          <w:sz w:val="24"/>
          <w:szCs w:val="24"/>
        </w:rPr>
        <w:lastRenderedPageBreak/>
        <w:t>requirements, increasing transaction costs and making otherwise promising solutions difficult to replicate across settings.</w:t>
      </w:r>
    </w:p>
    <w:p w14:paraId="74C944A7" w14:textId="77777777" w:rsidR="005968BF" w:rsidRPr="005968BF" w:rsidRDefault="005968BF" w:rsidP="005968BF">
      <w:pPr>
        <w:spacing w:after="0"/>
        <w:jc w:val="both"/>
        <w:rPr>
          <w:sz w:val="24"/>
          <w:szCs w:val="24"/>
        </w:rPr>
      </w:pPr>
    </w:p>
    <w:p w14:paraId="38DE9E82" w14:textId="77777777" w:rsidR="005968BF" w:rsidRPr="005968BF" w:rsidRDefault="005968BF" w:rsidP="005968BF">
      <w:pPr>
        <w:jc w:val="both"/>
        <w:rPr>
          <w:b/>
          <w:bCs/>
          <w:sz w:val="24"/>
          <w:szCs w:val="24"/>
        </w:rPr>
      </w:pPr>
      <w:r w:rsidRPr="005968BF">
        <w:rPr>
          <w:b/>
          <w:bCs/>
          <w:sz w:val="24"/>
          <w:szCs w:val="24"/>
        </w:rPr>
        <w:t>3.5 Governance, Ethical and Capability Gaps</w:t>
      </w:r>
    </w:p>
    <w:p w14:paraId="4F73A842" w14:textId="309B88E3" w:rsidR="005968BF" w:rsidRDefault="005968BF" w:rsidP="005968BF">
      <w:pPr>
        <w:spacing w:after="0"/>
        <w:jc w:val="both"/>
        <w:rPr>
          <w:sz w:val="24"/>
          <w:szCs w:val="24"/>
        </w:rPr>
      </w:pPr>
      <w:r w:rsidRPr="005968BF">
        <w:rPr>
          <w:sz w:val="24"/>
          <w:szCs w:val="24"/>
        </w:rPr>
        <w:t>Governance, ethical oversight and organisational capability have become increasingly important as digital entrepreneurship expands across contemporary medical settings (Greenhalgh et al., 2017). As digital tools increasingly rely on artificial intelligence, natural language processing and emotion detection, questions arise about transparency, bias, consent and professional accountability. Recent deployments of conversational agents and virtual care managers illustrate both the promise and the complexity of automated patient interaction. While such systems can relieve staff pressure and extend monitoring between visits, there is limited consensus on how responsibilities should be shared between algorithms, clinicians and organisations when decisions influence clinical outcomes. Existing regulatory frameworks were largely designed for traditional medical devices and may not adequately address adaptive learning systems or cross border data flows (Yusof &amp; Razali, 2020). These governance gaps create uncertainty for entrepreneurs, investors and providers, and may discourage bolder experimentation with high impact innovations. Clear accountability and transparent evaluation help organisations balance experimentation with the ethical and regulatory obligations that distinguish medical innovation from many other digital markets (Yusof &amp; Abd Wahab, 2020b). These safeguards are essential for trustworthy clinical adoption. Governance gaps become more consequential as digital tools influence increasingly sensitive decisions, because unclear accountability can weaken confidence among clinicians and patients even when the underlying technology performs as intended. This strengthens the analytical connection between technological change, organisational practice and the quality of care delivered.</w:t>
      </w:r>
    </w:p>
    <w:p w14:paraId="59DF37C4" w14:textId="77777777" w:rsidR="005968BF" w:rsidRPr="005968BF" w:rsidRDefault="005968BF" w:rsidP="005968BF">
      <w:pPr>
        <w:spacing w:after="0"/>
        <w:jc w:val="both"/>
        <w:rPr>
          <w:sz w:val="24"/>
          <w:szCs w:val="24"/>
        </w:rPr>
      </w:pPr>
    </w:p>
    <w:p w14:paraId="230ACD4F" w14:textId="636B4918" w:rsidR="005968BF" w:rsidRDefault="005968BF" w:rsidP="005968BF">
      <w:pPr>
        <w:spacing w:after="0"/>
        <w:jc w:val="both"/>
        <w:rPr>
          <w:sz w:val="24"/>
          <w:szCs w:val="24"/>
        </w:rPr>
      </w:pPr>
      <w:r w:rsidRPr="005968BF">
        <w:rPr>
          <w:sz w:val="24"/>
          <w:szCs w:val="24"/>
        </w:rPr>
        <w:t>Capability gaps within healthcare organisations compound these governance issues (Yusof &amp; Abd Wahab, 2021). Studies show that many institutions lack sufficient internal expertise in data science, user centred design and digital project management to critically assess and steward entrepreneurial solutions. Digital initiatives are sometimes delegated to small innovation units without strong connections to core clinical departments, limiting their influence on strategic priorities. Training opportunities for clinicians often focus on basic system use rather than deeper understanding of how digital tools can reshape workflows and patient relationships (Morley et al., 2020). McKinnon Janin and Scholars argue that without deliberate capacity building, digital entrepreneurship risks reinforcing existing hierarchies and producing isolated pockets of innovation rather than system level change. Addressing these capability, governance and ethical gaps is therefore essential if digital entrepreneurship in medicine is to deliver on its potential to enhance clinical operations and patient engagement in a responsible and sustainable manner (Vayena et al., 2018). Clear accountability and transparent evaluation help organisations balance experimentation with the ethical and regulatory obligations that distinguish medical innovation from many other digital markets. This reinforces the need for evidence-based design, implementation and evaluation. Capability limitations also restrict critical evaluation of vendor claims and implementation outcomes, making digital literacy and multidisciplinary oversight necessary for organisations that want to innovate without compromising professional responsibility. This strengthens the analytical connection between technological change, organisational practice and the quality of care delivered.</w:t>
      </w:r>
    </w:p>
    <w:p w14:paraId="25E01754" w14:textId="77777777" w:rsidR="005968BF" w:rsidRPr="005968BF" w:rsidRDefault="005968BF" w:rsidP="005968BF">
      <w:pPr>
        <w:spacing w:after="0"/>
        <w:jc w:val="both"/>
        <w:rPr>
          <w:sz w:val="24"/>
          <w:szCs w:val="24"/>
        </w:rPr>
      </w:pPr>
    </w:p>
    <w:p w14:paraId="707327AA" w14:textId="77777777" w:rsidR="005968BF" w:rsidRPr="005968BF" w:rsidRDefault="005968BF" w:rsidP="005968BF">
      <w:pPr>
        <w:jc w:val="both"/>
        <w:rPr>
          <w:b/>
          <w:bCs/>
          <w:sz w:val="24"/>
          <w:szCs w:val="24"/>
        </w:rPr>
      </w:pPr>
      <w:r w:rsidRPr="005968BF">
        <w:rPr>
          <w:b/>
          <w:bCs/>
          <w:sz w:val="24"/>
          <w:szCs w:val="24"/>
        </w:rPr>
        <w:lastRenderedPageBreak/>
        <w:t>4. STRATEGIC INTEGRATION OF DIGITAL ENTREPRENEURSHIP WITH CLINICAL VALUE</w:t>
      </w:r>
    </w:p>
    <w:p w14:paraId="0CC5880B" w14:textId="6311F8B8" w:rsidR="005968BF" w:rsidRDefault="005968BF" w:rsidP="005968BF">
      <w:pPr>
        <w:spacing w:after="0"/>
        <w:jc w:val="both"/>
        <w:rPr>
          <w:sz w:val="24"/>
          <w:szCs w:val="24"/>
        </w:rPr>
      </w:pPr>
      <w:r w:rsidRPr="005968BF">
        <w:rPr>
          <w:sz w:val="24"/>
          <w:szCs w:val="24"/>
        </w:rPr>
        <w:t>Digital entrepreneurship generates clinical value when technological innovation is deliberately connected to healthcare priorities, operational requirements and patient outcomes. The strategic importance of digital medical ventures therefore lies not simply in technological novelty, but in their capacity to improve how care is organised, delivered and experienced. Agarwal et al. (2010) describe healthcare digital transformation as a process involving interconnected changes in information, organisational structures and service delivery. Effective integration also requires attention to the work systems in which clinicians and patients interact with technology, because poorly aligned solutions may increase complexity rather than improve performance (Holden et al., 2013). Sustainable digital entrepreneurship consequently depends on strategic alignment, workflow compatibility, inclusive patient engagement, viable value creation and responsible governance. These dimensions support the translation of entrepreneurial innovation into enduring clinical value.</w:t>
      </w:r>
    </w:p>
    <w:p w14:paraId="437FA6B3" w14:textId="732059F7" w:rsidR="005968BF" w:rsidRDefault="005968BF" w:rsidP="005968BF">
      <w:pPr>
        <w:spacing w:after="0"/>
        <w:jc w:val="both"/>
        <w:rPr>
          <w:sz w:val="24"/>
          <w:szCs w:val="24"/>
        </w:rPr>
      </w:pPr>
    </w:p>
    <w:p w14:paraId="1100B509" w14:textId="77777777" w:rsidR="005968BF" w:rsidRPr="005968BF" w:rsidRDefault="005968BF" w:rsidP="005968BF">
      <w:pPr>
        <w:jc w:val="both"/>
        <w:rPr>
          <w:b/>
          <w:bCs/>
          <w:sz w:val="24"/>
          <w:szCs w:val="24"/>
        </w:rPr>
      </w:pPr>
      <w:r w:rsidRPr="005968BF">
        <w:rPr>
          <w:b/>
          <w:bCs/>
          <w:sz w:val="24"/>
          <w:szCs w:val="24"/>
        </w:rPr>
        <w:t>4.1 Reframing Digital Entrepreneurship as a Strategic Clinical Capability</w:t>
      </w:r>
    </w:p>
    <w:p w14:paraId="632DE618" w14:textId="33FAA413" w:rsidR="005968BF" w:rsidRDefault="005968BF" w:rsidP="005968BF">
      <w:pPr>
        <w:spacing w:after="0"/>
        <w:jc w:val="both"/>
        <w:rPr>
          <w:sz w:val="24"/>
          <w:szCs w:val="24"/>
        </w:rPr>
      </w:pPr>
      <w:r w:rsidRPr="005968BF">
        <w:rPr>
          <w:sz w:val="24"/>
          <w:szCs w:val="24"/>
        </w:rPr>
        <w:t>Conceptual and strategic fragmentation continues to weaken the positioning of digital entrepreneurship as a clinical capability (Teece, 2007). The literature review showed that digital entrepreneurship is often treated either as external start up activity or as a marginal innovation program, rather than as a core clinical capability. Studies of digital health entrepreneurship emphasise that the most successful initiatives are those anchored in clear problem definitions linked to clinical priorities, such as reducing avoidable admissions or supporting chronic disease management. When digital initiatives are decoupled from these priorities, they risk becoming experiments in search of a purpose (Vial, 2019). The present study therefore supports calls to position digital entrepreneurship as a strategic tool for redesigning diagnostic pathways, coordination processes and patient interfaces, consistent with the logic of value-based care. When these elements are aligned, digital entrepreneurship can improve responsiveness while creating a stronger foundation for learning, resource coordination and service reliability (Kraus et al., 2021). A coherent definition is important because it determines which opportunities are pursued, how resources are mobilised and which outcomes are considered evidence of success. A coherent definition is important because it determines which opportunities are pursued, how resources are mobilised and which outcomes are considered evidence of success. Treating digital entrepreneurship as a strategic clinical capability also changes investment logic, directing attention toward measurable service problems and organisational learning rather than the acquisition of technology for its own sake.</w:t>
      </w:r>
    </w:p>
    <w:p w14:paraId="31752925" w14:textId="77777777" w:rsidR="005968BF" w:rsidRPr="005968BF" w:rsidRDefault="005968BF" w:rsidP="005968BF">
      <w:pPr>
        <w:spacing w:after="0"/>
        <w:jc w:val="both"/>
        <w:rPr>
          <w:sz w:val="24"/>
          <w:szCs w:val="24"/>
        </w:rPr>
      </w:pPr>
    </w:p>
    <w:p w14:paraId="72E12006" w14:textId="40C992A4" w:rsidR="005968BF" w:rsidRDefault="005968BF" w:rsidP="005968BF">
      <w:pPr>
        <w:spacing w:after="0"/>
        <w:jc w:val="both"/>
        <w:rPr>
          <w:sz w:val="24"/>
          <w:szCs w:val="24"/>
        </w:rPr>
      </w:pPr>
      <w:r w:rsidRPr="005968BF">
        <w:rPr>
          <w:sz w:val="24"/>
          <w:szCs w:val="24"/>
        </w:rPr>
        <w:t xml:space="preserve">Integrating entrepreneurship theory with health services research provides a way to address this fragmentation (Greenhalgh et al., 2004). Concepts such as opportunity recognition, resource orchestration and experimentation can be reinterpreted through clinical lenses that prioritise safety, continuity and equity. When clinicians participate in opportunity identification and solution design, digital ventures are more likely to reflect real workflow constraints and patient needs. Scholars argue that strategic clarity requires shared definitions of value that cover clinical outcomes, patient experience and staff wellbeing rather than narrow metrics such as downloads or short-term cost reduction (Nambisan, 2017). The discussion therefore suggests that future research should develop integrated frameworks that articulate how digital entrepreneurship contributes to quality aims, including timeliness, effectiveness and person-centred care, while preserving professional standards </w:t>
      </w:r>
      <w:r w:rsidRPr="005968BF">
        <w:rPr>
          <w:sz w:val="24"/>
          <w:szCs w:val="24"/>
        </w:rPr>
        <w:lastRenderedPageBreak/>
        <w:t>and regulatory compliance. When these elements are aligned, digital entrepreneurship can improve responsiveness while creating a stronger foundation for learning, resource coordination and service reliability (Nambisan et al., 2019). A coherent definition is important because it determines which opportunities are pursued, how resources are mobilised and which outcomes are considered evidence of success. This reinforces the need for evidence-based design, implementation and evaluation. An interdisciplinary framing can reconcile entrepreneurial experimentation with clinical evidence by establishing clear boundaries for testing, evaluation and scaling while preserving the flexibility needed to refine new service models. This strengthens the analytical connection between technological change, organisational practice and the quality of care delivered.</w:t>
      </w:r>
    </w:p>
    <w:p w14:paraId="100B7446" w14:textId="77777777" w:rsidR="005968BF" w:rsidRPr="005968BF" w:rsidRDefault="005968BF" w:rsidP="005968BF">
      <w:pPr>
        <w:spacing w:after="0"/>
        <w:jc w:val="both"/>
        <w:rPr>
          <w:sz w:val="24"/>
          <w:szCs w:val="24"/>
        </w:rPr>
      </w:pPr>
    </w:p>
    <w:p w14:paraId="4196894E" w14:textId="77777777" w:rsidR="005968BF" w:rsidRPr="005968BF" w:rsidRDefault="005968BF" w:rsidP="005968BF">
      <w:pPr>
        <w:jc w:val="both"/>
        <w:rPr>
          <w:b/>
          <w:bCs/>
          <w:sz w:val="24"/>
          <w:szCs w:val="24"/>
        </w:rPr>
      </w:pPr>
      <w:r w:rsidRPr="005968BF">
        <w:rPr>
          <w:b/>
          <w:bCs/>
          <w:sz w:val="24"/>
          <w:szCs w:val="24"/>
        </w:rPr>
        <w:t>4.2 Aligning Digital Innovation with Complex Clinical Operations</w:t>
      </w:r>
    </w:p>
    <w:p w14:paraId="471E4A61" w14:textId="07B50612" w:rsidR="005968BF" w:rsidRPr="005968BF" w:rsidRDefault="005968BF" w:rsidP="005968BF">
      <w:pPr>
        <w:spacing w:after="0"/>
        <w:jc w:val="both"/>
        <w:rPr>
          <w:sz w:val="24"/>
          <w:szCs w:val="24"/>
        </w:rPr>
      </w:pPr>
      <w:r w:rsidRPr="005968BF">
        <w:rPr>
          <w:sz w:val="24"/>
          <w:szCs w:val="24"/>
        </w:rPr>
        <w:t>Integrating digital solutions into everyday clinical work remains difficult (Agarwal et al., 2010). Evidence from telemedicine and digital hospital implementations demonstrates that digital tools can reduce travel, shorten waiting times and support better continuity of care, particularly for chronic conditions and rural populations. Yet case studies of large-scale digital hospital programs show that these environments radically disrupt rehearsed workflows and require substantial adaptation from clinicians and patients. This study interprets these findings as evidence that digital entrepreneurship must be framed as socio technical redesign rather than software deployment. Tools that are developed without deep engagement with frontline staff can inadvertently introduce new hand off problems, documentation burdens or safety risks (Cresswell et al., 2013). When these elements are aligned, digital entrepreneurship can improve responsiveness while creating a stronger foundation for learning, resource coordination and service reliability. Operational improvement consequently requires attention to tasks, people, information flows, interfaces and organisational rules as an interconnected work system (Carayon et al., 2006). Performance should be evaluated through indicators such as waiting time, coordination quality, documentation burden, safety, reliability and continuity of care. Operational alignment therefore begins with understanding the actual sequence of clinical work, including handoffs, exceptions and informal coordination practices that are often overlooked when systems are designed around idealised processes. This strengthens the analytical connection between technological change, organisational practice and the quality of care delivered.</w:t>
      </w:r>
    </w:p>
    <w:p w14:paraId="65F18845" w14:textId="77777777" w:rsidR="005968BF" w:rsidRDefault="005968BF" w:rsidP="005968BF">
      <w:pPr>
        <w:spacing w:after="0"/>
        <w:jc w:val="both"/>
        <w:rPr>
          <w:sz w:val="24"/>
          <w:szCs w:val="24"/>
        </w:rPr>
      </w:pPr>
    </w:p>
    <w:p w14:paraId="70184B4B" w14:textId="046F4ED7" w:rsidR="005968BF" w:rsidRDefault="005968BF" w:rsidP="005968BF">
      <w:pPr>
        <w:spacing w:after="0"/>
        <w:jc w:val="both"/>
        <w:rPr>
          <w:sz w:val="24"/>
          <w:szCs w:val="24"/>
        </w:rPr>
      </w:pPr>
      <w:r w:rsidRPr="005968BF">
        <w:rPr>
          <w:sz w:val="24"/>
          <w:szCs w:val="24"/>
        </w:rPr>
        <w:t xml:space="preserve">Three practical implications emerge for aligning innovation with clinical operations (Holden et al., 2013). First, process mapping and co design with multidisciplinary teams should be standard components of digital ventures, ensuring that clinical pathways, decision rules and communication patterns are rethought alongside the technology. Second, integration with core clinical information systems and standards is essential so that data from telemedicine, remote monitoring or patient portals can inform decisions at the point of care. Third, change management should be treated as a central component of digital entrepreneurship, including protected time for training, feedback loops and iterative refinement. When digital innovation is viewed as ongoing operational transformation, the likelihood of delivering sustainable gains in efficiency and safety increases (Sittig &amp; Singh, 2010). When these elements are aligned, digital entrepreneurship can improve responsiveness while creating a stronger foundation for learning, resource coordination and service reliability. Operational improvement consequently requires attention to tasks, people, information flows, interfaces and organisational rules as an interconnected work system (Sinsky et al., 2016). Performance should be evaluated through indicators such as waiting time, coordination quality, documentation burden, safety, reliability and continuity of care. Continuous feedback from frontline users can then reveal </w:t>
      </w:r>
      <w:r w:rsidRPr="005968BF">
        <w:rPr>
          <w:sz w:val="24"/>
          <w:szCs w:val="24"/>
        </w:rPr>
        <w:lastRenderedPageBreak/>
        <w:t>where digital tools create friction or unintended workload, allowing implementation teams to adjust processes before inefficiencies become embedded in routine practice. This strengthens the analytical connection between technological change, organisational practice and the quality of care delivered.</w:t>
      </w:r>
    </w:p>
    <w:p w14:paraId="3D303BE3" w14:textId="77777777" w:rsidR="00A863C0" w:rsidRPr="005968BF" w:rsidRDefault="00A863C0" w:rsidP="005968BF">
      <w:pPr>
        <w:spacing w:after="0"/>
        <w:jc w:val="both"/>
        <w:rPr>
          <w:sz w:val="24"/>
          <w:szCs w:val="24"/>
        </w:rPr>
      </w:pPr>
    </w:p>
    <w:p w14:paraId="6F0D7733" w14:textId="77777777" w:rsidR="005968BF" w:rsidRPr="00A863C0" w:rsidRDefault="005968BF" w:rsidP="00A863C0">
      <w:pPr>
        <w:jc w:val="both"/>
        <w:rPr>
          <w:b/>
          <w:bCs/>
          <w:sz w:val="24"/>
          <w:szCs w:val="24"/>
        </w:rPr>
      </w:pPr>
      <w:r w:rsidRPr="00A863C0">
        <w:rPr>
          <w:b/>
          <w:bCs/>
          <w:sz w:val="24"/>
          <w:szCs w:val="24"/>
        </w:rPr>
        <w:t>4.3 Advancing Inclusive and Meaningful Digital Patient Engagement</w:t>
      </w:r>
    </w:p>
    <w:p w14:paraId="72A2E293" w14:textId="59DECDD1" w:rsidR="005968BF" w:rsidRDefault="005968BF" w:rsidP="005968BF">
      <w:pPr>
        <w:spacing w:after="0"/>
        <w:jc w:val="both"/>
        <w:rPr>
          <w:sz w:val="24"/>
          <w:szCs w:val="24"/>
        </w:rPr>
      </w:pPr>
      <w:r w:rsidRPr="005968BF">
        <w:rPr>
          <w:sz w:val="24"/>
          <w:szCs w:val="24"/>
        </w:rPr>
        <w:t xml:space="preserve">Uneven distribution and variable quality continue to constrain digital patient engagement (Richardson et al., 2022). Systematic work on engagement metrics shows that </w:t>
      </w:r>
      <w:r w:rsidR="00A863C0" w:rsidRPr="005968BF">
        <w:rPr>
          <w:sz w:val="24"/>
          <w:szCs w:val="24"/>
        </w:rPr>
        <w:t>start-ups</w:t>
      </w:r>
      <w:r w:rsidRPr="005968BF">
        <w:rPr>
          <w:sz w:val="24"/>
          <w:szCs w:val="24"/>
        </w:rPr>
        <w:t xml:space="preserve"> and providers use inconsistent definitions and often equate engagement with simple activity measures rather than meaningful participation in care. At the same time, global strategies on digital health stress that digital tools will only be valued if they support equitable access and improve perceived quality of care. The present discussion suggests that digital entrepreneurship in medicine must respond by moving beyond </w:t>
      </w:r>
      <w:r w:rsidR="00A863C0" w:rsidRPr="005968BF">
        <w:rPr>
          <w:sz w:val="24"/>
          <w:szCs w:val="24"/>
        </w:rPr>
        <w:t>convenience-oriented</w:t>
      </w:r>
      <w:r w:rsidRPr="005968BF">
        <w:rPr>
          <w:sz w:val="24"/>
          <w:szCs w:val="24"/>
        </w:rPr>
        <w:t xml:space="preserve"> features to design engagement journeys that support understanding, confidence and shared decision making (Crawford &amp; Serhal, 2020). This includes accessible content, language options and support for carers, as well as mechanisms for </w:t>
      </w:r>
      <w:r w:rsidR="00A863C0" w:rsidRPr="005968BF">
        <w:rPr>
          <w:sz w:val="24"/>
          <w:szCs w:val="24"/>
        </w:rPr>
        <w:t>two-way</w:t>
      </w:r>
      <w:r w:rsidRPr="005968BF">
        <w:rPr>
          <w:sz w:val="24"/>
          <w:szCs w:val="24"/>
        </w:rPr>
        <w:t xml:space="preserve"> communication that respect time constraints for both patients and clinicians. The entrepreneurial opportunity is strongest when digital channels extend participation while preserving alternatives for people who face limitations in connectivity, literacy or confidence (Whitehead et al., 2023). Engagement should therefore be assessed through meaningful participation, comprehension, trust and sustained use rather than through log-ins or downloads alone. A more meaningful interpretation of engagement recognises that patients differ in capability, preference and need, so digital channels should expand participation without making a single mode of interaction compulsory for every user. This strengthens the analytical connection between technological change, organisational practice and the quality of care delivered.</w:t>
      </w:r>
    </w:p>
    <w:p w14:paraId="538A9F85" w14:textId="77777777" w:rsidR="00A863C0" w:rsidRPr="005968BF" w:rsidRDefault="00A863C0" w:rsidP="005968BF">
      <w:pPr>
        <w:spacing w:after="0"/>
        <w:jc w:val="both"/>
        <w:rPr>
          <w:sz w:val="24"/>
          <w:szCs w:val="24"/>
        </w:rPr>
      </w:pPr>
    </w:p>
    <w:p w14:paraId="6DDB15C3" w14:textId="08168DEE" w:rsidR="005968BF" w:rsidRDefault="005968BF" w:rsidP="005968BF">
      <w:pPr>
        <w:spacing w:after="0"/>
        <w:jc w:val="both"/>
        <w:rPr>
          <w:sz w:val="24"/>
          <w:szCs w:val="24"/>
        </w:rPr>
      </w:pPr>
      <w:r w:rsidRPr="005968BF">
        <w:rPr>
          <w:sz w:val="24"/>
          <w:szCs w:val="24"/>
        </w:rPr>
        <w:t>The literature indicates that co creation with patients and communities is a powerful yet underused strategy for inclusive engagement (Yamin et al., 2011). Empirical studies of digital patient empowerment initiatives show that involving users in design improves usability and fosters trust, particularly among populations who may otherwise feel marginalised by digital systems. This study therefore interprets the issue of engagement inequities not simply as a technology access problem but as a design and governance problem. Digital entrepreneurs should adopt inclusive design principles and collaborate with community organisations to identify and mitigate barriers such as connectivity costs, device sharing or low literacy (Wilcock et al., 2019). Furthermore, clinicians require guidance and tools to interpret patient generated data in ways that add value to consultations rather than creating noise. When engagement is reconceptualised as a shared practice supported by digital tools, rather than a unidirectional metric, digital entrepreneurship can contribute more effectively to improved outcomes and patient satisfaction (Kruse et al., 2017). Engagement should therefore be assessed through meaningful participation, comprehension, trust and sustained use rather than through log-ins or downloads alone. Co-creation also provides a practical mechanism for identifying barriers that may be invisible to designers, particularly those involving language, accessibility, trust and the burden associated with repeated digital interactions. This strengthens the analytical connection between technological change, organisational practice and the quality of care delivered.</w:t>
      </w:r>
    </w:p>
    <w:p w14:paraId="644FAA6B" w14:textId="4396D266" w:rsidR="00A863C0" w:rsidRDefault="00A863C0" w:rsidP="005968BF">
      <w:pPr>
        <w:spacing w:after="0"/>
        <w:jc w:val="both"/>
        <w:rPr>
          <w:sz w:val="24"/>
          <w:szCs w:val="24"/>
        </w:rPr>
      </w:pPr>
    </w:p>
    <w:p w14:paraId="0C1277FD" w14:textId="3B91CBB9" w:rsidR="006E641B" w:rsidRDefault="006E641B" w:rsidP="005968BF">
      <w:pPr>
        <w:spacing w:after="0"/>
        <w:jc w:val="both"/>
        <w:rPr>
          <w:sz w:val="24"/>
          <w:szCs w:val="24"/>
        </w:rPr>
      </w:pPr>
    </w:p>
    <w:p w14:paraId="6341557E" w14:textId="77777777" w:rsidR="006E641B" w:rsidRPr="005968BF" w:rsidRDefault="006E641B" w:rsidP="005968BF">
      <w:pPr>
        <w:spacing w:after="0"/>
        <w:jc w:val="both"/>
        <w:rPr>
          <w:sz w:val="24"/>
          <w:szCs w:val="24"/>
        </w:rPr>
      </w:pPr>
    </w:p>
    <w:p w14:paraId="08DEDD7E" w14:textId="77777777" w:rsidR="005968BF" w:rsidRPr="00A863C0" w:rsidRDefault="005968BF" w:rsidP="00A863C0">
      <w:pPr>
        <w:jc w:val="both"/>
        <w:rPr>
          <w:b/>
          <w:bCs/>
          <w:sz w:val="24"/>
          <w:szCs w:val="24"/>
        </w:rPr>
      </w:pPr>
      <w:r w:rsidRPr="00A863C0">
        <w:rPr>
          <w:b/>
          <w:bCs/>
          <w:sz w:val="24"/>
          <w:szCs w:val="24"/>
        </w:rPr>
        <w:lastRenderedPageBreak/>
        <w:t>4.4 Building Sustainable and Value Oriented Digital Health Business Models</w:t>
      </w:r>
    </w:p>
    <w:p w14:paraId="68E3E3CB" w14:textId="363DA8FE" w:rsidR="005968BF" w:rsidRDefault="005968BF" w:rsidP="005968BF">
      <w:pPr>
        <w:spacing w:after="0"/>
        <w:jc w:val="both"/>
        <w:rPr>
          <w:sz w:val="24"/>
          <w:szCs w:val="24"/>
        </w:rPr>
      </w:pPr>
      <w:r w:rsidRPr="005968BF">
        <w:rPr>
          <w:sz w:val="24"/>
          <w:szCs w:val="24"/>
        </w:rPr>
        <w:t>Fragile digital health business models and ecosystems continue to constrain sustainable innovation (Yusof, Kamarudin, et al., 2025a). Recent syntheses of digital health markets emphasise that many ventures struggle to move beyond pilot projects due to misaligned reimbursement models, uncertain regulatory pathways and limited integration into routine care. At the same time, frameworks on value based digital health argue that digital solutions can play an important role in measuring and delivering value when they are aligned with outcome based financing and transparent performance indicators. The present discussion suggests that digital entrepreneurship in medicine will remain fragile unless business models explicitly link revenue to clinical outcomes and workflow improvements, rather than to surface activity such as the number of logins or video visits (Teece, 2007). Scalability is therefore not simply a matter of adding users; it depends on interoperability, stakeholder alignment and the ability to maintain service quality as organisational complexity increases (Vial, 2019). Commercial viability in healthcare depends on evidence, reimbursement, integration and stakeholder trust, not simply on rapid user growth or technical scalability. Commercial viability in healthcare depends on evidence, reimbursement, integration and stakeholder trust, not simply on rapid user growth or technical scalability. Value-oriented models can improve sustainability when payment, procurement and performance evaluation recognise outcomes such as better coordination, reduced avoidable utilisation and improved patient experience rather than rewarding technology adoption alone.</w:t>
      </w:r>
    </w:p>
    <w:p w14:paraId="7688E4FF" w14:textId="77777777" w:rsidR="00A863C0" w:rsidRPr="005968BF" w:rsidRDefault="00A863C0" w:rsidP="005968BF">
      <w:pPr>
        <w:spacing w:after="0"/>
        <w:jc w:val="both"/>
        <w:rPr>
          <w:sz w:val="24"/>
          <w:szCs w:val="24"/>
        </w:rPr>
      </w:pPr>
    </w:p>
    <w:p w14:paraId="09A6C55B" w14:textId="4CBFAAA1" w:rsidR="005968BF" w:rsidRDefault="005968BF" w:rsidP="005968BF">
      <w:pPr>
        <w:spacing w:after="0"/>
        <w:jc w:val="both"/>
        <w:rPr>
          <w:sz w:val="24"/>
          <w:szCs w:val="24"/>
        </w:rPr>
      </w:pPr>
      <w:r w:rsidRPr="005968BF">
        <w:rPr>
          <w:sz w:val="24"/>
          <w:szCs w:val="24"/>
        </w:rPr>
        <w:t xml:space="preserve">Ecosystem perspectives further highlight the importance of cooperative arrangements between payers, providers, technology firms and regulators (Greenhalgh et al., 2004). Reports on next generation healthcare business models and global value driven initiatives show that sustainable innovation often emerges where stakeholders share data and risks within clear governance frameworks. For digital entrepreneurs, this implies the need to design offerings that are interoperable, transparent in their evidence base and compatible with evolving </w:t>
      </w:r>
      <w:r w:rsidR="00A863C0" w:rsidRPr="005968BF">
        <w:rPr>
          <w:sz w:val="24"/>
          <w:szCs w:val="24"/>
        </w:rPr>
        <w:t>value-based</w:t>
      </w:r>
      <w:r w:rsidRPr="005968BF">
        <w:rPr>
          <w:sz w:val="24"/>
          <w:szCs w:val="24"/>
        </w:rPr>
        <w:t xml:space="preserve"> purchasing arrangements. It also raises important questions about data ownership and market concentration when large analytics firms acquire digital health companies or act as dominant platform providers (Yusof, Kamarudin, et al., 2025b). By analysing these dynamics, this study supports the view that digital entrepreneurship should be evaluated not only at the level of individual ventures but within broader markets and policy environments. Aligning business models with public health goals and equitable access is therefore central to achieving resilient digital ecosystems that can sustain improvements in clinical operations and patient engagement (Mishra &amp; Pandey, 2023). Commercial viability in healthcare depends on evidence, reimbursement, integration and stakeholder trust, not simply on rapid user growth or technical scalability. Partnership design should therefore clarify data responsibilities, implementation costs, clinical accountability and benefit sharing so that ecosystem participants have incentives to maintain the service after initial experimentation. This strengthens the analytical connection between technological change, organisational practice and the quality of care delivered.</w:t>
      </w:r>
    </w:p>
    <w:p w14:paraId="7001B38F" w14:textId="77777777" w:rsidR="00A863C0" w:rsidRPr="005968BF" w:rsidRDefault="00A863C0" w:rsidP="005968BF">
      <w:pPr>
        <w:spacing w:after="0"/>
        <w:jc w:val="both"/>
        <w:rPr>
          <w:sz w:val="24"/>
          <w:szCs w:val="24"/>
        </w:rPr>
      </w:pPr>
    </w:p>
    <w:p w14:paraId="5DEDE908" w14:textId="77777777" w:rsidR="005968BF" w:rsidRPr="00A863C0" w:rsidRDefault="005968BF" w:rsidP="00A863C0">
      <w:pPr>
        <w:jc w:val="both"/>
        <w:rPr>
          <w:b/>
          <w:bCs/>
          <w:sz w:val="24"/>
          <w:szCs w:val="24"/>
        </w:rPr>
      </w:pPr>
      <w:r w:rsidRPr="00A863C0">
        <w:rPr>
          <w:b/>
          <w:bCs/>
          <w:sz w:val="24"/>
          <w:szCs w:val="24"/>
        </w:rPr>
        <w:t>4.5 Strengthening Governance, Ethics and Organisational Capabilities</w:t>
      </w:r>
    </w:p>
    <w:p w14:paraId="0B11C1DC" w14:textId="16ECBAEC" w:rsidR="005968BF" w:rsidRDefault="005968BF" w:rsidP="005968BF">
      <w:pPr>
        <w:spacing w:after="0"/>
        <w:jc w:val="both"/>
        <w:rPr>
          <w:sz w:val="24"/>
          <w:szCs w:val="24"/>
        </w:rPr>
      </w:pPr>
      <w:r w:rsidRPr="005968BF">
        <w:rPr>
          <w:sz w:val="24"/>
          <w:szCs w:val="24"/>
        </w:rPr>
        <w:t xml:space="preserve">Governance, ethical oversight and organisational capability remain decisive conditions for responsible digital medical innovation (Wiens et al., 2019). International guidance from organisations such as the World Health Organization, UNESCO and regional bodies recognises that artificial intelligence and data intensive health technologies raise complex questions about </w:t>
      </w:r>
      <w:r w:rsidRPr="005968BF">
        <w:rPr>
          <w:sz w:val="24"/>
          <w:szCs w:val="24"/>
        </w:rPr>
        <w:lastRenderedPageBreak/>
        <w:t>transparency, accountability and fairness. Recent work on ethics of artificial intelligence in healthcare stresses that high level principles must be translated into operational practices such as bias audits, explainability requirements and clear responsibilities for oversight. This discussion interprets these developments as an emerging foundation for responsible digital entrepreneurship in medicine. Digital ventures that integrate ethical assessment, patient representation and transparent reporting from the outset are more likely to gain trust and regulatory acceptance (Kelly et al., 2019). Conversely, ventures that treat ethics as a compliance obligation after development risk eroding confidence among clinicians and patients. Clear accountability and transparent evaluation help organisations balance experimentation with the ethical and regulatory obligations that distinguish medical innovation from many other digital markets (Obermeyer et al., 2019). Responsible innovation requires clear accountability for data, algorithms, clinical decisions and vendor relationships throughout the full technology life cycle. Responsible governance should remain proportionate to clinical risk while still allowing learning, because excessively rigid controls can discourage useful experimentation whereas weak oversight can expose organisations to preventable ethical and operational failures. This strengthens the analytical connection between technological change, organisational practice and the quality of care delivered.</w:t>
      </w:r>
    </w:p>
    <w:p w14:paraId="12CBB1C0" w14:textId="77777777" w:rsidR="00A863C0" w:rsidRPr="005968BF" w:rsidRDefault="00A863C0" w:rsidP="005968BF">
      <w:pPr>
        <w:spacing w:after="0"/>
        <w:jc w:val="both"/>
        <w:rPr>
          <w:sz w:val="24"/>
          <w:szCs w:val="24"/>
        </w:rPr>
      </w:pPr>
    </w:p>
    <w:p w14:paraId="4346C241" w14:textId="2B6EC734" w:rsidR="005968BF" w:rsidRDefault="005968BF" w:rsidP="005968BF">
      <w:pPr>
        <w:spacing w:after="0"/>
        <w:jc w:val="both"/>
        <w:rPr>
          <w:sz w:val="24"/>
          <w:szCs w:val="24"/>
        </w:rPr>
      </w:pPr>
      <w:r w:rsidRPr="005968BF">
        <w:rPr>
          <w:sz w:val="24"/>
          <w:szCs w:val="24"/>
        </w:rPr>
        <w:t>Organisational capabilities are equally important for responsible innovation (Rieke et al., 2020). Studies of artificial intelligence driven healthcare entrepreneurship highlight that many digital projects fail not because algorithms are weak, but because organisations lack the expertise to evaluate, implement and monitor them. Capacity building in data literacy, user centred design and implementation science is therefore a central agenda for hospital leaders and educators. McKinnon and Jamin and Yusof et al. emphasise that interdisciplinary teams are essential, bringing together clinicians, informaticians, engineers and social scientists to shape digital ventures that are clinically sound and context sensitive (Greenhalgh et al., 2017). The discussion suggests that future research should explore models of learning health systems in which digital entrepreneurship is embedded within continuous cycles of measurement, reflection and improvement. By investing simultaneously in governance frameworks and organisational capabilities, healthcare systems can create conditions in which digital entrepreneurship operates as a disciplined, ethically grounded and clinically impactful force for improved operations and patient engagement (Cresswell et al., 2013). Responsible innovation requires clear accountability for data, algorithms, clinical decisions and vendor relationships throughout the full technology life cycle. Capability development complements formal governance by enabling clinicians and managers to question assumptions, interpret digital evidence and participate effectively in decisions about procurement, implementation and ongoing evaluation. This strengthens the analytical connection between technological change, organisational practice and the quality of care delivered.</w:t>
      </w:r>
    </w:p>
    <w:p w14:paraId="53DCCF0F" w14:textId="77777777" w:rsidR="00A863C0" w:rsidRPr="005968BF" w:rsidRDefault="00A863C0" w:rsidP="005968BF">
      <w:pPr>
        <w:spacing w:after="0"/>
        <w:jc w:val="both"/>
        <w:rPr>
          <w:sz w:val="24"/>
          <w:szCs w:val="24"/>
        </w:rPr>
      </w:pPr>
    </w:p>
    <w:p w14:paraId="0C970D56" w14:textId="77777777" w:rsidR="005968BF" w:rsidRPr="00A863C0" w:rsidRDefault="005968BF" w:rsidP="00A863C0">
      <w:pPr>
        <w:jc w:val="both"/>
        <w:rPr>
          <w:b/>
          <w:bCs/>
          <w:sz w:val="24"/>
          <w:szCs w:val="24"/>
        </w:rPr>
      </w:pPr>
      <w:r w:rsidRPr="00A863C0">
        <w:rPr>
          <w:b/>
          <w:bCs/>
          <w:sz w:val="24"/>
          <w:szCs w:val="24"/>
        </w:rPr>
        <w:t>5. PATHWAYS FOR RESPONSIBLE AND SUSTAINABLE DIGITAL MEDICAL INNOVATION</w:t>
      </w:r>
    </w:p>
    <w:p w14:paraId="19E747EE" w14:textId="590062FE" w:rsidR="005968BF" w:rsidRDefault="005968BF" w:rsidP="005968BF">
      <w:pPr>
        <w:spacing w:after="0"/>
        <w:jc w:val="both"/>
        <w:rPr>
          <w:sz w:val="24"/>
          <w:szCs w:val="24"/>
        </w:rPr>
      </w:pPr>
      <w:r w:rsidRPr="005968BF">
        <w:rPr>
          <w:sz w:val="24"/>
          <w:szCs w:val="24"/>
        </w:rPr>
        <w:t xml:space="preserve">Responsible and sustainable digital medical innovation requires entrepreneurial ambition to be balanced with clinical evidence, organisational capability and long-term stakeholder value. Digital ventures can accelerate new models of care, but rapid technological development does not automatically produce reliable or equitable healthcare outcomes. Wiens et al. (2019) emphasise that responsible health innovation requires systematic attention to safety, validation and potential harm, particularly when data-driven technologies influence clinical decisions. Sustainability also depends </w:t>
      </w:r>
      <w:r w:rsidRPr="005968BF">
        <w:rPr>
          <w:sz w:val="24"/>
          <w:szCs w:val="24"/>
        </w:rPr>
        <w:lastRenderedPageBreak/>
        <w:t>on whether digital solutions can be integrated into existing systems, supported by appropriate capabilities and adapted as healthcare conditions evolve (Greenhalgh et al., 2017). Strategic pathways must therefore connect innovation with clinical workflows, meaningful patient participation, resilient business models and effective governance. This orientation enables digital entrepreneurship to remain responsive to opportunities while maintaining ethical standards required in medical environments.</w:t>
      </w:r>
    </w:p>
    <w:p w14:paraId="7EE27D5E" w14:textId="095710AF" w:rsidR="00A863C0" w:rsidRDefault="00A863C0" w:rsidP="005968BF">
      <w:pPr>
        <w:spacing w:after="0"/>
        <w:jc w:val="both"/>
        <w:rPr>
          <w:sz w:val="24"/>
          <w:szCs w:val="24"/>
        </w:rPr>
      </w:pPr>
    </w:p>
    <w:p w14:paraId="58BF24F7" w14:textId="77777777" w:rsidR="005968BF" w:rsidRPr="00A863C0" w:rsidRDefault="005968BF" w:rsidP="00A863C0">
      <w:pPr>
        <w:jc w:val="both"/>
        <w:rPr>
          <w:b/>
          <w:bCs/>
          <w:sz w:val="24"/>
          <w:szCs w:val="24"/>
        </w:rPr>
      </w:pPr>
      <w:r w:rsidRPr="00A863C0">
        <w:rPr>
          <w:b/>
          <w:bCs/>
          <w:sz w:val="24"/>
          <w:szCs w:val="24"/>
        </w:rPr>
        <w:t>5.1 Embedding Digital Entrepreneurship in Integrated Strategic Frameworks</w:t>
      </w:r>
    </w:p>
    <w:p w14:paraId="37F9F7B7" w14:textId="602F97D3" w:rsidR="005968BF" w:rsidRDefault="005968BF" w:rsidP="005968BF">
      <w:pPr>
        <w:spacing w:after="0"/>
        <w:jc w:val="both"/>
        <w:rPr>
          <w:sz w:val="24"/>
          <w:szCs w:val="24"/>
        </w:rPr>
      </w:pPr>
      <w:r w:rsidRPr="005968BF">
        <w:rPr>
          <w:sz w:val="24"/>
          <w:szCs w:val="24"/>
        </w:rPr>
        <w:t xml:space="preserve">A central suggestion is to reposition digital entrepreneurship as a strategic clinical capability rather than an isolated technological project (Weimar et al., 2025). Healthcare organisations should develop explicit digital entrepreneurship strategies that link innovation programmes with clinical outcomes such as reduced avoidable admissions, improved chronic disease management and enhanced continuity of care. These strategies need to articulate clear problem statements, expected benefits and measurable indicators across quality, safety and experience dimensions. By doing so, digital ventures are evaluated not only on adoption or cost but also on their contribution to </w:t>
      </w:r>
      <w:r w:rsidR="00A863C0" w:rsidRPr="005968BF">
        <w:rPr>
          <w:sz w:val="24"/>
          <w:szCs w:val="24"/>
        </w:rPr>
        <w:t>value-based</w:t>
      </w:r>
      <w:r w:rsidRPr="005968BF">
        <w:rPr>
          <w:sz w:val="24"/>
          <w:szCs w:val="24"/>
        </w:rPr>
        <w:t xml:space="preserve"> care. Strategic frameworks should integrate concepts from entrepreneurship, such as opportunity recognition and resource orchestration, with health services principles such as patient centredness and equity (Mishra &amp; Pandey, 2023). This integration can reduce conceptual fragmentation and ensure that digital initiatives are grounded in real clinical needs rather than in technology availability. Leadership commitment is essential, with boards and senior clinicians visibly sponsoring digital projects that demonstrably align with organisational missions and population health goals (Teece, 2007). This distinction supports clearer evaluation of entrepreneurial value in complex medical settings. This reinforces the need for evidence-based design, implementation and evaluation. Strategic integration should also establish explicit criteria for continuation, modification or termination, ensuring that resources are redirected when a digital initiative fails to produce sufficient clinical, operational or patient value. This strengthens the analytical connection between technological change, organisational practice and the quality of care delivered.</w:t>
      </w:r>
    </w:p>
    <w:p w14:paraId="3FBEB960" w14:textId="77777777" w:rsidR="00A863C0" w:rsidRPr="005968BF" w:rsidRDefault="00A863C0" w:rsidP="005968BF">
      <w:pPr>
        <w:spacing w:after="0"/>
        <w:jc w:val="both"/>
        <w:rPr>
          <w:sz w:val="24"/>
          <w:szCs w:val="24"/>
        </w:rPr>
      </w:pPr>
    </w:p>
    <w:p w14:paraId="0BA0F51C" w14:textId="1CE06746" w:rsidR="005968BF" w:rsidRDefault="005968BF" w:rsidP="005968BF">
      <w:pPr>
        <w:spacing w:after="0"/>
        <w:jc w:val="both"/>
        <w:rPr>
          <w:sz w:val="24"/>
          <w:szCs w:val="24"/>
        </w:rPr>
      </w:pPr>
      <w:r w:rsidRPr="005968BF">
        <w:rPr>
          <w:sz w:val="24"/>
          <w:szCs w:val="24"/>
        </w:rPr>
        <w:t xml:space="preserve">Operationally, these strategic frameworks should be translated into concrete governance and portfolio management mechanisms (Vial, 2019). Organisations can establish cross functional digital innovation committees that include clinicians, patients, data experts and finance representatives to assess proposed initiatives against shared criteria. These committees would prioritise projects that address pressing operational bottlenecks or engagement gaps identified through data and staff feedback. Portfolio approaches can help to balance quick win solutions with longer term transformative initiatives, avoiding the proliferation of disconnected pilot projects. Clear decision rules regarding scaling, redesign or discontinuation should be defined at the outset, supported by transparent reporting on outcomes and lessons learned (Kraus et al., 2021). Furthermore, strategic frameworks should encourage collaboration with external entrepreneurs and universities, while ensuring that partnerships are guided by principles of reciprocity and public value. By embedding digital entrepreneurship within integrated strategies, healthcare systems can move from opportunistic experimentation toward purposeful and accountable innovation (Greenhalgh et al., 2004). Capability development is equally important because leaders and clinical professionals need sufficient digital understanding to question, evaluate and improve technology enabled processes. Conceptual clarity also helps distinguish entrepreneurial experimentation from routine digitisation and creates a stronger basis for comparing initiatives across settings. Portfolio governance can </w:t>
      </w:r>
      <w:r w:rsidRPr="005968BF">
        <w:rPr>
          <w:sz w:val="24"/>
          <w:szCs w:val="24"/>
        </w:rPr>
        <w:lastRenderedPageBreak/>
        <w:t>support this discipline by comparing initiatives against common objectives while still allowing different clinical areas to adapt implementation approaches to their specific workflows and patient populations.</w:t>
      </w:r>
    </w:p>
    <w:p w14:paraId="67E6B84D" w14:textId="77777777" w:rsidR="00A863C0" w:rsidRPr="005968BF" w:rsidRDefault="00A863C0" w:rsidP="005968BF">
      <w:pPr>
        <w:spacing w:after="0"/>
        <w:jc w:val="both"/>
        <w:rPr>
          <w:sz w:val="24"/>
          <w:szCs w:val="24"/>
        </w:rPr>
      </w:pPr>
    </w:p>
    <w:p w14:paraId="38E7ED8B" w14:textId="77777777" w:rsidR="005968BF" w:rsidRPr="00A863C0" w:rsidRDefault="005968BF" w:rsidP="00A863C0">
      <w:pPr>
        <w:jc w:val="both"/>
        <w:rPr>
          <w:b/>
          <w:bCs/>
          <w:sz w:val="24"/>
          <w:szCs w:val="24"/>
        </w:rPr>
      </w:pPr>
      <w:r w:rsidRPr="00A863C0">
        <w:rPr>
          <w:b/>
          <w:bCs/>
          <w:sz w:val="24"/>
          <w:szCs w:val="24"/>
        </w:rPr>
        <w:t>5.2 Aligning Digital Innovation with Clinical Workflow and Operational Design</w:t>
      </w:r>
    </w:p>
    <w:p w14:paraId="3490B414" w14:textId="35A9ED23" w:rsidR="005968BF" w:rsidRDefault="005968BF" w:rsidP="005968BF">
      <w:pPr>
        <w:spacing w:after="0"/>
        <w:jc w:val="both"/>
        <w:rPr>
          <w:sz w:val="24"/>
          <w:szCs w:val="24"/>
        </w:rPr>
      </w:pPr>
      <w:r w:rsidRPr="005968BF">
        <w:rPr>
          <w:sz w:val="24"/>
          <w:szCs w:val="24"/>
        </w:rPr>
        <w:t>Clinical integration requires digital entrepreneurship to be treated as a structured exercise in socio technical redesign (Bates et al., 2014). Before introducing new tools, organisations should undertake detailed mapping of existing clinical pathways, information flows and decision points, using methods such as process mapping and participatory observation. Digital entrepreneurs and designers need to work alongside clinicians, nurses and administrative staff to co design future state workflows that incorporate digital solutions in ways that simplify rather than complicate tasks. This includes clarifying who enters data, who reviews it, how alerts are triaged and how digital information is integrated into team communication (Esteva et al., 2019). Iterative prototyping in real clinical environments, with rapid feedback cycles, should be a standard practice to ensure that tools align with time pressures and safety requirements. Such approaches can significantly reduce the risk of workarounds, double documentation and staff frustration that often accompany poorly integrated systems (Rajkomar et al., 2019). Operational improvement consequently requires attention to tasks, people, information flows, interfaces and organisational rules as an interconnected work system. Operational improvement consequently requires attention to tasks, people, information flows, interfaces and organisational rules as an interconnected work system. Process mapping should capture both formal procedures and the practical adaptations used by frontline staff, because these details often determine whether a new system reduces work or simply relocates administrative burden.</w:t>
      </w:r>
    </w:p>
    <w:p w14:paraId="52FB3A52" w14:textId="77777777" w:rsidR="00A863C0" w:rsidRPr="005968BF" w:rsidRDefault="00A863C0" w:rsidP="005968BF">
      <w:pPr>
        <w:spacing w:after="0"/>
        <w:jc w:val="both"/>
        <w:rPr>
          <w:sz w:val="24"/>
          <w:szCs w:val="24"/>
        </w:rPr>
      </w:pPr>
    </w:p>
    <w:p w14:paraId="2E594127" w14:textId="5C79A215" w:rsidR="005968BF" w:rsidRDefault="005968BF" w:rsidP="005968BF">
      <w:pPr>
        <w:spacing w:after="0"/>
        <w:jc w:val="both"/>
        <w:rPr>
          <w:sz w:val="24"/>
          <w:szCs w:val="24"/>
        </w:rPr>
      </w:pPr>
      <w:r w:rsidRPr="005968BF">
        <w:rPr>
          <w:sz w:val="24"/>
          <w:szCs w:val="24"/>
        </w:rPr>
        <w:t>A further operational suggestion is to prioritise interoperability and data quality as core design principles (Kelly et al., 2019). New digital solutions should be evaluated on their ability to exchange structured information with electronic health records, laboratory systems and external providers, using recognised standards and common terminologies. This implies early involvement of information technology and informatics teams in entrepreneurial projects, not as late stage implementers but as co designers. Organisations may establish internal architectural guidelines that require any new digital application to contribute to an integrated data environment, rather than creating isolated data silos (Wosik et al., 2020). Investment in analytics capacity is also crucial so that data generated by digital tools can support demand forecasting, triage optimisation and performance monitoring. Training programmes should extend beyond simple system use to include concepts such as data provenance, alert fatigue and human factors, enabling clinicians to understand how digital tools shape decision making (Topol, 2019). By aligning digital innovation with workflow and operational design, healthcare organisations can convert technical potential into tangible gains in efficiency and quality. Performance should be evaluated through indicators such as waiting time, coordination quality, documentation burden, safety, reliability and continuity of care. Interoperability planning should likewise be addressed before deployment, with clear requirements for data ownership, exchange standards, system interfaces and responsibility for correcting inaccurate or incomplete information.</w:t>
      </w:r>
    </w:p>
    <w:p w14:paraId="414BDB44" w14:textId="16279F2A" w:rsidR="006E641B" w:rsidRDefault="006E641B" w:rsidP="005968BF">
      <w:pPr>
        <w:spacing w:after="0"/>
        <w:jc w:val="both"/>
        <w:rPr>
          <w:sz w:val="24"/>
          <w:szCs w:val="24"/>
        </w:rPr>
      </w:pPr>
    </w:p>
    <w:p w14:paraId="0911D179" w14:textId="77777777" w:rsidR="006E641B" w:rsidRDefault="006E641B" w:rsidP="005968BF">
      <w:pPr>
        <w:spacing w:after="0"/>
        <w:jc w:val="both"/>
        <w:rPr>
          <w:sz w:val="24"/>
          <w:szCs w:val="24"/>
        </w:rPr>
      </w:pPr>
    </w:p>
    <w:p w14:paraId="15C4B094" w14:textId="77777777" w:rsidR="00A863C0" w:rsidRPr="005968BF" w:rsidRDefault="00A863C0" w:rsidP="005968BF">
      <w:pPr>
        <w:spacing w:after="0"/>
        <w:jc w:val="both"/>
        <w:rPr>
          <w:sz w:val="24"/>
          <w:szCs w:val="24"/>
        </w:rPr>
      </w:pPr>
    </w:p>
    <w:p w14:paraId="31253F80" w14:textId="77777777" w:rsidR="005968BF" w:rsidRPr="00A863C0" w:rsidRDefault="005968BF" w:rsidP="00A863C0">
      <w:pPr>
        <w:jc w:val="both"/>
        <w:rPr>
          <w:b/>
          <w:bCs/>
          <w:sz w:val="24"/>
          <w:szCs w:val="24"/>
        </w:rPr>
      </w:pPr>
      <w:r w:rsidRPr="00A863C0">
        <w:rPr>
          <w:b/>
          <w:bCs/>
          <w:sz w:val="24"/>
          <w:szCs w:val="24"/>
        </w:rPr>
        <w:lastRenderedPageBreak/>
        <w:t>5.3 Designing Inclusive and Sustainable Digital Patient Engagement Models</w:t>
      </w:r>
    </w:p>
    <w:p w14:paraId="7D01CC2A" w14:textId="01CD1E6C" w:rsidR="005968BF" w:rsidRDefault="005968BF" w:rsidP="005968BF">
      <w:pPr>
        <w:spacing w:after="0"/>
        <w:jc w:val="both"/>
        <w:rPr>
          <w:sz w:val="24"/>
          <w:szCs w:val="24"/>
        </w:rPr>
      </w:pPr>
      <w:r w:rsidRPr="005968BF">
        <w:rPr>
          <w:sz w:val="24"/>
          <w:szCs w:val="24"/>
        </w:rPr>
        <w:t>Persistent inequities in digital patient engagement require inclusive and sustainability focused design approaches (Irizarry et al., 2015). Digital entrepreneurs should move beyond narrow notions of engagement defined by logins or click counts and instead conceptualise engagement as meaningful participation in care planning, monitoring and decision making. This requires attention to accessibility, language, cultural appropriateness and varying levels of digital literacy. Co design processes that involve diverse patients, caregivers and community representatives from the earliest stages can surface barriers and preferences that might otherwise be overlooked (Perski et al., 2017). For example, participatory workshops can reveal when text heavy interfaces need to be complemented with audio or visual guidance, or when flexible communication channels are necessary to accommodate different work and caregiving schedules. These insights should guide the selection of features, such as asynchronous messaging, shared decision aids and simple symptom tracking, that genuinely support patient understanding and autonomy (Norman &amp; Skinner, 2006). Engagement should therefore be assessed through meaningful participation, comprehension, trust and sustained use rather than through log-ins or downloads alone. Inclusive design should preserve alternative access routes for people who cannot or do not wish to rely entirely on digital channels, preventing technological convenience from becoming a condition for receiving appropriate care. This strengthens the analytical connection between technological change, organisational practice and the quality of care delivered. This perspective also supports clearer evaluation of implementation choices across different clinical and organisational settings.</w:t>
      </w:r>
    </w:p>
    <w:p w14:paraId="3514C3FE" w14:textId="77777777" w:rsidR="00A863C0" w:rsidRPr="005968BF" w:rsidRDefault="00A863C0" w:rsidP="005968BF">
      <w:pPr>
        <w:spacing w:after="0"/>
        <w:jc w:val="both"/>
        <w:rPr>
          <w:sz w:val="24"/>
          <w:szCs w:val="24"/>
        </w:rPr>
      </w:pPr>
    </w:p>
    <w:p w14:paraId="49027014" w14:textId="78AFA7F0" w:rsidR="005968BF" w:rsidRDefault="005968BF" w:rsidP="005968BF">
      <w:pPr>
        <w:spacing w:after="0"/>
        <w:jc w:val="both"/>
        <w:rPr>
          <w:sz w:val="24"/>
          <w:szCs w:val="24"/>
        </w:rPr>
      </w:pPr>
      <w:r w:rsidRPr="005968BF">
        <w:rPr>
          <w:sz w:val="24"/>
          <w:szCs w:val="24"/>
        </w:rPr>
        <w:t>Sustainability of engagement demands ongoing support and integration into clinical relationships (Richardson et al., 2022). Healthcare organisations should develop protocols that define how clinicians respond to messages, interpret remote monitoring data and incorporate digital interactions into consultation time, thereby preventing patient generated information from becoming overwhelming or neglected. Digital tools should provide clear expectations to users regarding response times, appropriate content and escalation routes in emergencies. Additionally, organisations may consider blended models that combine digital and face to face touchpoints, particularly for patients with complex needs or limited confidence with technology. Outreach programmes that offer training or peer support for patients and families can further reduce disparities in use (Yusof, Fauzi, et al., 2025). Policymakers can support inclusive engagement by funding connectivity initiatives and by encouraging the development of public digital health platforms that complement commercial offerings. When engagement models are designed with inclusivity and sustainability at their core, digital entrepreneurship can contribute to more equitable and trusted relationships between patients and health systems (Whitehead et al., 2023). Engagement should therefore be assessed through meaningful participation, comprehension, trust and sustained use rather than through log-ins or downloads alone. Engagement metrics should also distinguish superficial activity from meaningful participation by considering whether patients understand information, communicate concerns and remain involved in decisions over time. This strengthens the analytical connection between technological change, organisational practice and the quality of care delivered.</w:t>
      </w:r>
    </w:p>
    <w:p w14:paraId="05CA89AB" w14:textId="77777777" w:rsidR="00A863C0" w:rsidRPr="005968BF" w:rsidRDefault="00A863C0" w:rsidP="005968BF">
      <w:pPr>
        <w:spacing w:after="0"/>
        <w:jc w:val="both"/>
        <w:rPr>
          <w:sz w:val="24"/>
          <w:szCs w:val="24"/>
        </w:rPr>
      </w:pPr>
    </w:p>
    <w:p w14:paraId="7D927CD0" w14:textId="77777777" w:rsidR="005968BF" w:rsidRPr="00A863C0" w:rsidRDefault="005968BF" w:rsidP="00A863C0">
      <w:pPr>
        <w:jc w:val="both"/>
        <w:rPr>
          <w:b/>
          <w:bCs/>
          <w:sz w:val="24"/>
          <w:szCs w:val="24"/>
        </w:rPr>
      </w:pPr>
      <w:r w:rsidRPr="00A863C0">
        <w:rPr>
          <w:b/>
          <w:bCs/>
          <w:sz w:val="24"/>
          <w:szCs w:val="24"/>
        </w:rPr>
        <w:t>5.4 Developing Resilient and Value Oriented Business Models and Ecosystems</w:t>
      </w:r>
    </w:p>
    <w:p w14:paraId="77CB37B0" w14:textId="7AD075E6" w:rsidR="005968BF" w:rsidRDefault="005968BF" w:rsidP="005968BF">
      <w:pPr>
        <w:spacing w:after="0"/>
        <w:jc w:val="both"/>
        <w:rPr>
          <w:sz w:val="24"/>
          <w:szCs w:val="24"/>
        </w:rPr>
      </w:pPr>
      <w:r w:rsidRPr="005968BF">
        <w:rPr>
          <w:sz w:val="24"/>
          <w:szCs w:val="24"/>
        </w:rPr>
        <w:t xml:space="preserve">Fragile digital health ventures require business models that explicitly link revenue and investment to improvements in clinical outcomes and efficiency (Nambisan, 2017). Rather than relying solely </w:t>
      </w:r>
      <w:r w:rsidRPr="005968BF">
        <w:rPr>
          <w:sz w:val="24"/>
          <w:szCs w:val="24"/>
        </w:rPr>
        <w:lastRenderedPageBreak/>
        <w:t xml:space="preserve">on volume based or subscription metrics, digital entrepreneurs and healthcare purchasers should explore outcome linked arrangements, where payments are conditioned on measurable improvements such as reduced readmissions, improved control of chronic conditions or higher patient satisfaction. Such models are consistent with broader movements toward </w:t>
      </w:r>
      <w:r w:rsidR="00A863C0" w:rsidRPr="005968BF">
        <w:rPr>
          <w:sz w:val="24"/>
          <w:szCs w:val="24"/>
        </w:rPr>
        <w:t>value-based</w:t>
      </w:r>
      <w:r w:rsidRPr="005968BF">
        <w:rPr>
          <w:sz w:val="24"/>
          <w:szCs w:val="24"/>
        </w:rPr>
        <w:t xml:space="preserve"> care and can align incentives for hospitals, payers and technology firms. However, </w:t>
      </w:r>
      <w:r w:rsidR="00A863C0" w:rsidRPr="005968BF">
        <w:rPr>
          <w:sz w:val="24"/>
          <w:szCs w:val="24"/>
        </w:rPr>
        <w:t>outcome-based</w:t>
      </w:r>
      <w:r w:rsidRPr="005968BF">
        <w:rPr>
          <w:sz w:val="24"/>
          <w:szCs w:val="24"/>
        </w:rPr>
        <w:t xml:space="preserve"> models require robust data collection and agreed indicators, underscoring the importance of integrated information systems and transparent evaluation methodologies (Nambisan et al., 2019). Business plans for digital ventures should therefore include realistic timelines and resources for evidence generation, including pilot studies, pragmatic trials and economic evaluations. This evidence base strengthens negotiation positions with payers and regulators and supports responsible scaling decisions (Yusof, 2025b). Commercial viability in healthcare depends on evidence, reimbursement, integration and stakeholder trust, not simply on rapid user growth or technical scalability. Business model evaluation should therefore combine financial indicators with evidence of clinical usefulness, operational impact and patient value, creating a more credible basis for procurement and long-term investment decisions. This strengthens the analytical connection between technological change, organisational practice and the quality of care delivered. This perspective also supports clearer evaluation of implementation choices across different clinical and organisational settings.</w:t>
      </w:r>
    </w:p>
    <w:p w14:paraId="2A480306" w14:textId="77777777" w:rsidR="00A863C0" w:rsidRPr="005968BF" w:rsidRDefault="00A863C0" w:rsidP="005968BF">
      <w:pPr>
        <w:spacing w:after="0"/>
        <w:jc w:val="both"/>
        <w:rPr>
          <w:sz w:val="24"/>
          <w:szCs w:val="24"/>
        </w:rPr>
      </w:pPr>
    </w:p>
    <w:p w14:paraId="4A244C27" w14:textId="27A8CA6F" w:rsidR="005968BF" w:rsidRDefault="005968BF" w:rsidP="005968BF">
      <w:pPr>
        <w:spacing w:after="0"/>
        <w:jc w:val="both"/>
        <w:rPr>
          <w:sz w:val="24"/>
          <w:szCs w:val="24"/>
        </w:rPr>
      </w:pPr>
      <w:r w:rsidRPr="005968BF">
        <w:rPr>
          <w:sz w:val="24"/>
          <w:szCs w:val="24"/>
        </w:rPr>
        <w:t>At the ecosystem level, resilient digital entrepreneurship depends on balanced partnerships and clear governance arrangements (Teece, 2007). Healthcare organisations should articulate principles for collaborating with technology firms and investors, covering data stewardship, intellectual property, transparency of algorithms and fair distribution of benefits. Multi stakeholder consortia that include public agencies, insurers, patient groups and academic partners can help to mobilise resources while maintaining accountability to public health goals. Policymakers can encourage such collaboration through innovation funds, regulatory sandboxes and shared testing facilities that reduce individual risk while supporting experimentation (Yusof, 2025a). At the same time, safeguards are needed to prevent excessive dependence on single vendors and to ensure that critical digital infrastructure remains interoperable and portable. Diversified ecosystems that support both large and small innovators, underpinned by open standards and transparent evaluation, are more likely to sustain digital entrepreneurship that genuinely enhances clinical operations and patient engagement (Greenhalgh et al., 2004). Scalability is therefore not simply a matter of adding users; it depends on interoperability, stakeholder alignment and the ability to maintain service quality as organisational complexity increases. Value creation must remain connected to clinical outcomes and service quality so that financial sustainability reinforces rather than displaces healthcare priorities. Ecosystem agreements should further specify responsibilities for implementation, data governance, service continuity and performance monitoring so that dependence on multiple partners does not create ambiguity when problems arise.</w:t>
      </w:r>
    </w:p>
    <w:p w14:paraId="116AC238" w14:textId="77777777" w:rsidR="00A863C0" w:rsidRPr="005968BF" w:rsidRDefault="00A863C0" w:rsidP="005968BF">
      <w:pPr>
        <w:spacing w:after="0"/>
        <w:jc w:val="both"/>
        <w:rPr>
          <w:sz w:val="24"/>
          <w:szCs w:val="24"/>
        </w:rPr>
      </w:pPr>
    </w:p>
    <w:p w14:paraId="6D8A5FB0" w14:textId="77777777" w:rsidR="005968BF" w:rsidRPr="00A863C0" w:rsidRDefault="005968BF" w:rsidP="00A863C0">
      <w:pPr>
        <w:jc w:val="both"/>
        <w:rPr>
          <w:b/>
          <w:bCs/>
          <w:sz w:val="24"/>
          <w:szCs w:val="24"/>
        </w:rPr>
      </w:pPr>
      <w:r w:rsidRPr="00A863C0">
        <w:rPr>
          <w:b/>
          <w:bCs/>
          <w:sz w:val="24"/>
          <w:szCs w:val="24"/>
        </w:rPr>
        <w:t>5.5 Strengthening Governance, Ethics and Organisational Capabilities</w:t>
      </w:r>
    </w:p>
    <w:p w14:paraId="7085D5E0" w14:textId="0FFC1C30" w:rsidR="005968BF" w:rsidRDefault="005968BF" w:rsidP="005968BF">
      <w:pPr>
        <w:spacing w:after="0"/>
        <w:jc w:val="both"/>
        <w:rPr>
          <w:sz w:val="24"/>
          <w:szCs w:val="24"/>
        </w:rPr>
      </w:pPr>
      <w:r w:rsidRPr="005968BF">
        <w:rPr>
          <w:sz w:val="24"/>
          <w:szCs w:val="24"/>
        </w:rPr>
        <w:t xml:space="preserve">Governance and capability gaps require responsible innovation practices to be institutionalised alongside systematic organisational capacity building (Yusof &amp; Abd Wahab, 2020b). Healthcare organisations should adopt formal governance frameworks for digital technologies that define roles and responsibilities across clinical, technical, legal and ethical domains. Ethics and governance committees with expertise in artificial intelligence, data protection and patient rights should review </w:t>
      </w:r>
      <w:r w:rsidRPr="005968BF">
        <w:rPr>
          <w:sz w:val="24"/>
          <w:szCs w:val="24"/>
        </w:rPr>
        <w:lastRenderedPageBreak/>
        <w:t>high impact digital initiatives at early design stages rather than only at procurement or deployment. These committees can require transparent documentation of data sources, model development processes, validation results and potential bias risks. They can also insist on mechanisms for human oversight, contestability and clear communication of limitations to patients and staff (Yusof &amp; Abd Wahab, 2021). Embedding such practices supports trust and reduces the risk of reputational or legal harm arising from poorly governed digital solutions. Clear accountability and transparent evaluation help organisations balance experimentation with the ethical and regulatory obligations that distinguish medical innovation from many other digital markets (Morley et al., 2020). These safeguards are essential for trustworthy clinical adoption. Governance arrangements should define who is accountable for technology selection, data use, algorithmic outputs and service quality, with escalation mechanisms that remain understandable to both clinical and managerial stakeholders. This strengthens the analytical connection between technological change, organisational practice and the quality of care delivered. This perspective also supports clearer evaluation of implementation choices across different clinical and organisational settings.</w:t>
      </w:r>
    </w:p>
    <w:p w14:paraId="55D2248B" w14:textId="77777777" w:rsidR="00A863C0" w:rsidRPr="005968BF" w:rsidRDefault="00A863C0" w:rsidP="005968BF">
      <w:pPr>
        <w:spacing w:after="0"/>
        <w:jc w:val="both"/>
        <w:rPr>
          <w:sz w:val="24"/>
          <w:szCs w:val="24"/>
        </w:rPr>
      </w:pPr>
    </w:p>
    <w:p w14:paraId="596AE4CA" w14:textId="79D0D0CB" w:rsidR="005968BF" w:rsidRDefault="005968BF" w:rsidP="005968BF">
      <w:pPr>
        <w:spacing w:after="0"/>
        <w:jc w:val="both"/>
        <w:rPr>
          <w:sz w:val="24"/>
          <w:szCs w:val="24"/>
        </w:rPr>
      </w:pPr>
      <w:r w:rsidRPr="005968BF">
        <w:rPr>
          <w:sz w:val="24"/>
          <w:szCs w:val="24"/>
        </w:rPr>
        <w:t>Organisational capabilities need to be developed in parallel (Vayena et al., 2018). Hospitals and clinics should invest in interdisciplinary training programmes that equip clinicians, managers and technical staff with foundational knowledge of digital health, data analytics and implementation science. Joint appointments or fellowship schemes can encourage collaboration between clinical departments and digital innovation units, creating career pathways for clinician innovators. Partnerships with universities and professional bodies can support curriculum development and accreditation for digital health competencies. At the project level, teams should include roles dedicated to change management, user experience and evaluation, ensuring that technical excellence is matched by attention to human and organisational factors (Wiens et al., 2019). Over time, these investments can cultivate learning health systems in which digital entrepreneurship is embedded in continuous cycles of measurement, reflection and improvement. Strengthened governance and capabilities together create an environment in which digital entrepreneurship in medicine can be both ambitious and responsible (Kelly et al., 2019). Clear accountability and transparent evaluation help organisations balance experimentation with the ethical and regulatory obligations that distinguish medical innovation from many other digital markets. Continuous capability development should be linked to real implementation experience, enabling organisations to learn from incidents, user feedback and performance data rather than relying solely on one-off digital training programmes. This strengthens the analytical connection between technological change, organisational practice and the quality of care delivered.</w:t>
      </w:r>
    </w:p>
    <w:p w14:paraId="5AE6F5F4" w14:textId="77777777" w:rsidR="00A863C0" w:rsidRPr="005968BF" w:rsidRDefault="00A863C0" w:rsidP="005968BF">
      <w:pPr>
        <w:spacing w:after="0"/>
        <w:jc w:val="both"/>
        <w:rPr>
          <w:sz w:val="24"/>
          <w:szCs w:val="24"/>
        </w:rPr>
      </w:pPr>
    </w:p>
    <w:p w14:paraId="74D8014E" w14:textId="77777777" w:rsidR="005968BF" w:rsidRPr="00A863C0" w:rsidRDefault="005968BF" w:rsidP="00A863C0">
      <w:pPr>
        <w:jc w:val="both"/>
        <w:rPr>
          <w:b/>
          <w:bCs/>
          <w:sz w:val="24"/>
          <w:szCs w:val="24"/>
        </w:rPr>
      </w:pPr>
      <w:r w:rsidRPr="00A863C0">
        <w:rPr>
          <w:b/>
          <w:bCs/>
          <w:sz w:val="24"/>
          <w:szCs w:val="24"/>
        </w:rPr>
        <w:t>6. CONCLUSION</w:t>
      </w:r>
    </w:p>
    <w:p w14:paraId="1DB70B11" w14:textId="4FC66F01" w:rsidR="005968BF" w:rsidRDefault="005968BF" w:rsidP="005968BF">
      <w:pPr>
        <w:spacing w:after="0"/>
        <w:jc w:val="both"/>
        <w:rPr>
          <w:sz w:val="24"/>
          <w:szCs w:val="24"/>
        </w:rPr>
      </w:pPr>
      <w:r w:rsidRPr="005968BF">
        <w:rPr>
          <w:sz w:val="24"/>
          <w:szCs w:val="24"/>
        </w:rPr>
        <w:t xml:space="preserve">Digital entrepreneurship in medicine represents a profound evolution in how healthcare organisations conceptualise value creation, operational efficiency and patient participation (Irizarry et al., 2015). The analysis in this article highlights </w:t>
      </w:r>
      <w:r w:rsidR="00A863C0" w:rsidRPr="005968BF">
        <w:rPr>
          <w:sz w:val="24"/>
          <w:szCs w:val="24"/>
        </w:rPr>
        <w:t>that modern clinical environment</w:t>
      </w:r>
      <w:r w:rsidRPr="005968BF">
        <w:rPr>
          <w:sz w:val="24"/>
          <w:szCs w:val="24"/>
        </w:rPr>
        <w:t xml:space="preserve"> are increasingly shaped by digital tools that support decision making, coordination and communication, yet the full potential of these tools depends on the capacity of organisations to integrate entrepreneurial thinking with clinical priorities. Digital entrepreneurship is effective when it strengthens clinical pathways, enhances diagnostic accuracy and creates meaningful connections between patients and providers. It is limited when technologies are adopted without strategic clarity or alignment with the realities of clinical practice (Keesara et al., 2020). This study therefore reinforces the importance of </w:t>
      </w:r>
      <w:r w:rsidRPr="005968BF">
        <w:rPr>
          <w:sz w:val="24"/>
          <w:szCs w:val="24"/>
        </w:rPr>
        <w:lastRenderedPageBreak/>
        <w:t>conceptual coherence and the need for healthcare organisations to recognise digital entrepreneurship as a strategic and multidisciplinary capability rather than as an isolated technological initiative. The practical implication is that digital transformation becomes sustainable only when strategic intent, implementation capability, user value and governance mature together (Kelly et al., 2019). Future development should therefore combine measurable outcomes with continuous learning across clinical, organisational, technological and patient perspectives.</w:t>
      </w:r>
    </w:p>
    <w:p w14:paraId="0A9D60B1" w14:textId="77777777" w:rsidR="00A863C0" w:rsidRPr="005968BF" w:rsidRDefault="00A863C0" w:rsidP="005968BF">
      <w:pPr>
        <w:spacing w:after="0"/>
        <w:jc w:val="both"/>
        <w:rPr>
          <w:sz w:val="24"/>
          <w:szCs w:val="24"/>
        </w:rPr>
      </w:pPr>
    </w:p>
    <w:p w14:paraId="12305D3A" w14:textId="52932C48" w:rsidR="005968BF" w:rsidRDefault="005968BF" w:rsidP="005968BF">
      <w:pPr>
        <w:spacing w:after="0"/>
        <w:jc w:val="both"/>
        <w:rPr>
          <w:sz w:val="24"/>
          <w:szCs w:val="24"/>
        </w:rPr>
      </w:pPr>
      <w:r w:rsidRPr="005968BF">
        <w:rPr>
          <w:sz w:val="24"/>
          <w:szCs w:val="24"/>
        </w:rPr>
        <w:t>The review of evidence demonstrates that digital tools can improve clinical operations through data driven insights, automated processes and integrated information flows that enhance coordination across departments and care settings (Kraus et al., 2021). However, successful adoption requires robust socio technical design, inclusive engagement of clinical staff and sustained investment in interoperability. When digital solutions are implemented without an understanding of workflow complexity, they risk adding burden rather than relieving it. Conversely, when digital entrepreneurship is embedded within structured operational redesign, it supports efficiency, safety and responsiveness. This relationship underscores the interdependence of technology and clinical practice, and highlights the importance of organisational readiness, leadership commitment and continuous learning (Kruse et al., 2017). The practical implication is that digital transformation becomes sustainable only when strategic intent, implementation capability, user value and governance mature together. Future development should therefore combine measurable outcomes with continuous learning across clinical, organisational, technological and patient perspectives. The practical implication is that digital transformation becomes sustainable only when strategic intent, implementation capability, user value and governance mature together (Mishra &amp; Pandey, 2023). Together, these conditions shape sustainable digital transformation.</w:t>
      </w:r>
    </w:p>
    <w:p w14:paraId="7316B905" w14:textId="77777777" w:rsidR="00A863C0" w:rsidRPr="005968BF" w:rsidRDefault="00A863C0" w:rsidP="005968BF">
      <w:pPr>
        <w:spacing w:after="0"/>
        <w:jc w:val="both"/>
        <w:rPr>
          <w:sz w:val="24"/>
          <w:szCs w:val="24"/>
        </w:rPr>
      </w:pPr>
    </w:p>
    <w:p w14:paraId="17FBB5FD" w14:textId="3D658420" w:rsidR="00501175" w:rsidRPr="00234D6C" w:rsidRDefault="005968BF" w:rsidP="005968BF">
      <w:pPr>
        <w:spacing w:after="0"/>
        <w:jc w:val="both"/>
        <w:rPr>
          <w:sz w:val="24"/>
          <w:szCs w:val="24"/>
        </w:rPr>
      </w:pPr>
      <w:r w:rsidRPr="005968BF">
        <w:rPr>
          <w:sz w:val="24"/>
          <w:szCs w:val="24"/>
        </w:rPr>
        <w:t xml:space="preserve">The analysis also shows that patient engagement is a central outcome of digital entrepreneurship in medicine (Morley et al., 2020). Digital platforms have expanded opportunities for patients to participate in their care through </w:t>
      </w:r>
      <w:r w:rsidR="00A863C0" w:rsidRPr="005968BF">
        <w:rPr>
          <w:sz w:val="24"/>
          <w:szCs w:val="24"/>
        </w:rPr>
        <w:t>self-monitoring</w:t>
      </w:r>
      <w:r w:rsidRPr="005968BF">
        <w:rPr>
          <w:sz w:val="24"/>
          <w:szCs w:val="24"/>
        </w:rPr>
        <w:t xml:space="preserve">, remote consultations and personalised information access. Yet these benefits are unevenly distributed across populations, and </w:t>
      </w:r>
      <w:r w:rsidR="00A863C0" w:rsidRPr="005968BF">
        <w:rPr>
          <w:sz w:val="24"/>
          <w:szCs w:val="24"/>
        </w:rPr>
        <w:t>long-term</w:t>
      </w:r>
      <w:r w:rsidRPr="005968BF">
        <w:rPr>
          <w:sz w:val="24"/>
          <w:szCs w:val="24"/>
        </w:rPr>
        <w:t xml:space="preserve"> engagement depends on trust, usability and cultural appropriateness. Digital entrepreneurship must therefore address issues of access, literacy and inclusion to ensure that technological innovation contributes to equity rather than reinforcing disparities. Sustainable engagement requires integrated clinical protocols, responsive communication practices and ethical stewardship of patient generated data (Nambisan, 2017). Economic and governance conditions further shape the trajectory of digital entrepreneurship in healthcare. Many digital ventures face difficulties achieving financial sustainability due to uncertain reimbursement structures and fragmented ecosystem coordination. Business models that align incentives with clinical outcomes offer a promising direction, but they depend on reliable data, transparent evaluation and multi stakeholder collaboration (Nambisan et al., 2019). Governance frameworks must evolve to address emerging ethical and regulatory concerns related to artificial intelligence, data protection and algorithmic accountability. Future development should therefore combine measurable outcomes with continuous learning across clinical, organisational, technological and patient perspectives.</w:t>
      </w:r>
    </w:p>
    <w:p w14:paraId="3A051AFD" w14:textId="0B9DBFD0" w:rsidR="00234D6C" w:rsidRDefault="00234D6C" w:rsidP="00234D6C">
      <w:pPr>
        <w:spacing w:after="0"/>
        <w:jc w:val="both"/>
      </w:pPr>
    </w:p>
    <w:p w14:paraId="3DD45286" w14:textId="156EAEDB" w:rsidR="006E641B" w:rsidRDefault="006E641B" w:rsidP="00234D6C">
      <w:pPr>
        <w:spacing w:after="0"/>
        <w:jc w:val="both"/>
      </w:pPr>
    </w:p>
    <w:p w14:paraId="5236C8AC" w14:textId="1ABD4268" w:rsidR="006E641B" w:rsidRDefault="006E641B" w:rsidP="00234D6C">
      <w:pPr>
        <w:spacing w:after="0"/>
        <w:jc w:val="both"/>
      </w:pPr>
    </w:p>
    <w:p w14:paraId="69A9540A" w14:textId="2009EFAF" w:rsidR="006E641B" w:rsidRDefault="006E641B" w:rsidP="00234D6C">
      <w:pPr>
        <w:spacing w:after="0"/>
        <w:jc w:val="both"/>
      </w:pPr>
    </w:p>
    <w:p w14:paraId="383CBD34" w14:textId="77777777" w:rsidR="006E641B" w:rsidRDefault="006E641B" w:rsidP="00234D6C">
      <w:pPr>
        <w:spacing w:after="0"/>
        <w:jc w:val="both"/>
      </w:pPr>
    </w:p>
    <w:p w14:paraId="2E8156F8" w14:textId="77777777" w:rsidR="00501175" w:rsidRDefault="002C291D" w:rsidP="00234D6C">
      <w:r>
        <w:rPr>
          <w:b/>
          <w:sz w:val="24"/>
        </w:rPr>
        <w:lastRenderedPageBreak/>
        <w:t>DECLARATIONS</w:t>
      </w:r>
    </w:p>
    <w:tbl>
      <w:tblPr>
        <w:tblW w:w="0" w:type="auto"/>
        <w:jc w:val="center"/>
        <w:tblLook w:val="04A0" w:firstRow="1" w:lastRow="0" w:firstColumn="1" w:lastColumn="0" w:noHBand="0" w:noVBand="1"/>
      </w:tblPr>
      <w:tblGrid>
        <w:gridCol w:w="9526"/>
      </w:tblGrid>
      <w:tr w:rsidR="00501175" w14:paraId="372F2AEC" w14:textId="77777777">
        <w:trPr>
          <w:jc w:val="center"/>
        </w:trPr>
        <w:tc>
          <w:tcPr>
            <w:tcW w:w="9544" w:type="dxa"/>
            <w:tcBorders>
              <w:top w:val="single" w:sz="7" w:space="0" w:color="B7B7B7"/>
              <w:left w:val="single" w:sz="7" w:space="0" w:color="B7B7B7"/>
              <w:bottom w:val="single" w:sz="7" w:space="0" w:color="B7B7B7"/>
              <w:right w:val="single" w:sz="7" w:space="0" w:color="B7B7B7"/>
            </w:tcBorders>
            <w:shd w:val="clear" w:color="auto" w:fill="F7F7F7"/>
            <w:tcMar>
              <w:top w:w="100" w:type="dxa"/>
              <w:left w:w="120" w:type="dxa"/>
              <w:bottom w:w="100" w:type="dxa"/>
              <w:right w:w="120" w:type="dxa"/>
            </w:tcMar>
          </w:tcPr>
          <w:p w14:paraId="32F23A71" w14:textId="77777777" w:rsidR="00501175" w:rsidRPr="00234D6C" w:rsidRDefault="002C291D">
            <w:pPr>
              <w:spacing w:after="60"/>
              <w:rPr>
                <w:sz w:val="20"/>
                <w:szCs w:val="20"/>
              </w:rPr>
            </w:pPr>
            <w:r w:rsidRPr="00234D6C">
              <w:rPr>
                <w:b/>
                <w:sz w:val="20"/>
                <w:szCs w:val="20"/>
              </w:rPr>
              <w:t>1. Acknowledgement</w:t>
            </w:r>
          </w:p>
          <w:p w14:paraId="5A98E8FD" w14:textId="0E92E6EC" w:rsidR="00501175" w:rsidRPr="00234D6C" w:rsidRDefault="00577168">
            <w:pPr>
              <w:spacing w:after="20"/>
              <w:rPr>
                <w:sz w:val="20"/>
                <w:szCs w:val="20"/>
              </w:rPr>
            </w:pPr>
            <w:r w:rsidRPr="00577168">
              <w:rPr>
                <w:sz w:val="20"/>
                <w:szCs w:val="20"/>
              </w:rPr>
              <w:t>The authors gratefully acknowledge the academic and professional support provided by Sultanah Nur Zahirah Hospital, Kuala Terengganu and the Faculty of Business and Accountancy, Universiti Poly-Tech Malaysia (UPTM). Appreciation is also extended to scholars and healthcare researchers whose published works provided the conceptual and theoretical foundations for examining digital entrepreneurship, clinical operations, patient engagement, and responsible digital innovation in healthcare.</w:t>
            </w:r>
          </w:p>
        </w:tc>
      </w:tr>
      <w:tr w:rsidR="00501175" w14:paraId="3688CAB4" w14:textId="77777777">
        <w:trPr>
          <w:jc w:val="center"/>
        </w:trPr>
        <w:tc>
          <w:tcPr>
            <w:tcW w:w="9544" w:type="dxa"/>
            <w:tcBorders>
              <w:top w:val="single" w:sz="7" w:space="0" w:color="B7B7B7"/>
              <w:left w:val="single" w:sz="7" w:space="0" w:color="B7B7B7"/>
              <w:bottom w:val="single" w:sz="7" w:space="0" w:color="B7B7B7"/>
              <w:right w:val="single" w:sz="7" w:space="0" w:color="B7B7B7"/>
            </w:tcBorders>
            <w:tcMar>
              <w:top w:w="100" w:type="dxa"/>
              <w:left w:w="120" w:type="dxa"/>
              <w:bottom w:w="100" w:type="dxa"/>
              <w:right w:w="120" w:type="dxa"/>
            </w:tcMar>
          </w:tcPr>
          <w:p w14:paraId="278E60A0" w14:textId="77777777" w:rsidR="00501175" w:rsidRPr="00234D6C" w:rsidRDefault="002C291D">
            <w:pPr>
              <w:spacing w:after="60"/>
              <w:rPr>
                <w:sz w:val="20"/>
                <w:szCs w:val="20"/>
              </w:rPr>
            </w:pPr>
            <w:r w:rsidRPr="00234D6C">
              <w:rPr>
                <w:b/>
                <w:sz w:val="20"/>
                <w:szCs w:val="20"/>
              </w:rPr>
              <w:t>2. Conflict of Interest</w:t>
            </w:r>
          </w:p>
          <w:p w14:paraId="1C1D9924" w14:textId="752FE8F0" w:rsidR="00501175" w:rsidRPr="00234D6C" w:rsidRDefault="00577168">
            <w:pPr>
              <w:spacing w:after="20"/>
              <w:rPr>
                <w:sz w:val="20"/>
                <w:szCs w:val="20"/>
              </w:rPr>
            </w:pPr>
            <w:r w:rsidRPr="00577168">
              <w:rPr>
                <w:sz w:val="20"/>
                <w:szCs w:val="20"/>
              </w:rPr>
              <w:t>The authors declare that there are no financial, professional, or personal interests that could have influenced the preparation or publication of this article.</w:t>
            </w:r>
          </w:p>
        </w:tc>
      </w:tr>
      <w:tr w:rsidR="00501175" w14:paraId="083D53FB" w14:textId="77777777">
        <w:trPr>
          <w:jc w:val="center"/>
        </w:trPr>
        <w:tc>
          <w:tcPr>
            <w:tcW w:w="9544" w:type="dxa"/>
            <w:tcBorders>
              <w:top w:val="single" w:sz="7" w:space="0" w:color="B7B7B7"/>
              <w:left w:val="single" w:sz="7" w:space="0" w:color="B7B7B7"/>
              <w:bottom w:val="single" w:sz="7" w:space="0" w:color="B7B7B7"/>
              <w:right w:val="single" w:sz="7" w:space="0" w:color="B7B7B7"/>
            </w:tcBorders>
            <w:shd w:val="clear" w:color="auto" w:fill="F7F7F7"/>
            <w:tcMar>
              <w:top w:w="100" w:type="dxa"/>
              <w:left w:w="120" w:type="dxa"/>
              <w:bottom w:w="100" w:type="dxa"/>
              <w:right w:w="120" w:type="dxa"/>
            </w:tcMar>
          </w:tcPr>
          <w:p w14:paraId="38D51FF3" w14:textId="77777777" w:rsidR="00501175" w:rsidRPr="00234D6C" w:rsidRDefault="002C291D">
            <w:pPr>
              <w:spacing w:after="60"/>
              <w:rPr>
                <w:sz w:val="20"/>
                <w:szCs w:val="20"/>
              </w:rPr>
            </w:pPr>
            <w:r w:rsidRPr="00234D6C">
              <w:rPr>
                <w:b/>
                <w:sz w:val="20"/>
                <w:szCs w:val="20"/>
              </w:rPr>
              <w:t>3. Author Contribution Statement</w:t>
            </w:r>
          </w:p>
          <w:p w14:paraId="1078ACB3" w14:textId="77777777" w:rsidR="00577168" w:rsidRPr="00577168" w:rsidRDefault="002C291D" w:rsidP="00577168">
            <w:pPr>
              <w:spacing w:after="20"/>
              <w:rPr>
                <w:sz w:val="20"/>
                <w:szCs w:val="20"/>
              </w:rPr>
            </w:pPr>
            <w:r w:rsidRPr="00234D6C">
              <w:rPr>
                <w:sz w:val="20"/>
                <w:szCs w:val="20"/>
              </w:rPr>
              <w:t>[</w:t>
            </w:r>
            <w:r w:rsidR="00577168" w:rsidRPr="00577168">
              <w:rPr>
                <w:sz w:val="20"/>
                <w:szCs w:val="20"/>
              </w:rPr>
              <w:t>Nurul Shuhada Abd Wahab: Conceptualization, literature review, development of the healthcare context, development of the conceptual arguments, and preparation of the original manuscript.</w:t>
            </w:r>
          </w:p>
          <w:p w14:paraId="30573DD2" w14:textId="77777777" w:rsidR="00577168" w:rsidRPr="00577168" w:rsidRDefault="00577168" w:rsidP="00577168">
            <w:pPr>
              <w:spacing w:after="20"/>
              <w:rPr>
                <w:sz w:val="20"/>
                <w:szCs w:val="20"/>
              </w:rPr>
            </w:pPr>
            <w:r w:rsidRPr="00577168">
              <w:rPr>
                <w:sz w:val="20"/>
                <w:szCs w:val="20"/>
              </w:rPr>
              <w:t>Mohamed Suhaimi Yusof: Conceptual development, literature synthesis, intellectual input, critical review, and manuscript refinement.</w:t>
            </w:r>
          </w:p>
          <w:p w14:paraId="6C55AFE0" w14:textId="77777777" w:rsidR="00577168" w:rsidRPr="00577168" w:rsidRDefault="00577168" w:rsidP="00577168">
            <w:pPr>
              <w:spacing w:after="20"/>
              <w:rPr>
                <w:sz w:val="20"/>
                <w:szCs w:val="20"/>
              </w:rPr>
            </w:pPr>
            <w:r w:rsidRPr="00577168">
              <w:rPr>
                <w:sz w:val="20"/>
                <w:szCs w:val="20"/>
              </w:rPr>
              <w:t>Norashikin Misnan: Literature synthesis, conceptual contribution, critical review, and manuscript editing.</w:t>
            </w:r>
          </w:p>
          <w:p w14:paraId="1489DF04" w14:textId="478CFDB8" w:rsidR="00501175" w:rsidRPr="00234D6C" w:rsidRDefault="00577168" w:rsidP="00577168">
            <w:pPr>
              <w:spacing w:after="20"/>
              <w:rPr>
                <w:sz w:val="20"/>
                <w:szCs w:val="20"/>
              </w:rPr>
            </w:pPr>
            <w:r w:rsidRPr="00577168">
              <w:rPr>
                <w:sz w:val="20"/>
                <w:szCs w:val="20"/>
              </w:rPr>
              <w:t>All authors contributed to the development and refinement of the conceptual article, reviewed the manuscript, and approved the final version for publication. The article is based on a comprehensive synthesis of existing academic and industry evidence concerning digital entrepreneurship, clinical operations, patient engagement, business models, governance, and organisational capability.</w:t>
            </w:r>
          </w:p>
        </w:tc>
      </w:tr>
      <w:tr w:rsidR="00501175" w14:paraId="2114A633" w14:textId="77777777">
        <w:trPr>
          <w:jc w:val="center"/>
        </w:trPr>
        <w:tc>
          <w:tcPr>
            <w:tcW w:w="9544" w:type="dxa"/>
            <w:tcBorders>
              <w:top w:val="single" w:sz="7" w:space="0" w:color="B7B7B7"/>
              <w:left w:val="single" w:sz="7" w:space="0" w:color="B7B7B7"/>
              <w:bottom w:val="single" w:sz="7" w:space="0" w:color="B7B7B7"/>
              <w:right w:val="single" w:sz="7" w:space="0" w:color="B7B7B7"/>
            </w:tcBorders>
            <w:tcMar>
              <w:top w:w="100" w:type="dxa"/>
              <w:left w:w="120" w:type="dxa"/>
              <w:bottom w:w="100" w:type="dxa"/>
              <w:right w:w="120" w:type="dxa"/>
            </w:tcMar>
          </w:tcPr>
          <w:p w14:paraId="33CB6826" w14:textId="77777777" w:rsidR="00501175" w:rsidRPr="00234D6C" w:rsidRDefault="002C291D">
            <w:pPr>
              <w:spacing w:after="60"/>
              <w:rPr>
                <w:sz w:val="20"/>
                <w:szCs w:val="20"/>
              </w:rPr>
            </w:pPr>
            <w:r w:rsidRPr="00234D6C">
              <w:rPr>
                <w:b/>
                <w:sz w:val="20"/>
                <w:szCs w:val="20"/>
              </w:rPr>
              <w:t>4. Ethics Statement</w:t>
            </w:r>
          </w:p>
          <w:p w14:paraId="1D675AD7" w14:textId="389A70E1" w:rsidR="00501175" w:rsidRDefault="00577168">
            <w:pPr>
              <w:spacing w:after="20"/>
            </w:pPr>
            <w:r w:rsidRPr="00577168">
              <w:rPr>
                <w:sz w:val="20"/>
                <w:szCs w:val="20"/>
              </w:rPr>
              <w:t>This article is conceptual in nature and is developed entirely from existing academic and industry literature. It does not involve human participants, patients, animals, clinical trials, surveys, interviews, experiments, or the collection of primary, confidential, or identifiable health data. Therefore, institutional ethical approval and informed consent were not required. All scholarly and professional sources used in developing the conceptual discussion were appropriately acknowledged and cited in accordance with established principles of academic integrity, responsible research practice, and ethical scholarly publication.</w:t>
            </w:r>
          </w:p>
        </w:tc>
      </w:tr>
    </w:tbl>
    <w:p w14:paraId="3038BFEE" w14:textId="1315DFC4" w:rsidR="00501175" w:rsidRPr="00F2244E" w:rsidRDefault="002C291D">
      <w:pPr>
        <w:spacing w:before="180" w:after="60"/>
        <w:rPr>
          <w:color w:val="FF0000"/>
          <w:sz w:val="24"/>
          <w:szCs w:val="24"/>
        </w:rPr>
      </w:pPr>
      <w:r w:rsidRPr="00234D6C">
        <w:rPr>
          <w:b/>
          <w:sz w:val="24"/>
          <w:szCs w:val="24"/>
        </w:rPr>
        <w:t>REFERENCES</w:t>
      </w:r>
      <w:r w:rsidR="00F2244E">
        <w:rPr>
          <w:b/>
          <w:sz w:val="24"/>
          <w:szCs w:val="24"/>
        </w:rPr>
        <w:t xml:space="preserve"> </w:t>
      </w:r>
    </w:p>
    <w:p w14:paraId="19C96DFD" w14:textId="77777777" w:rsidR="005968BF" w:rsidRPr="005968BF" w:rsidRDefault="005968BF" w:rsidP="005968BF">
      <w:pPr>
        <w:spacing w:after="120"/>
        <w:ind w:left="397" w:hanging="397"/>
        <w:jc w:val="both"/>
        <w:rPr>
          <w:sz w:val="24"/>
          <w:szCs w:val="24"/>
        </w:rPr>
      </w:pPr>
      <w:r w:rsidRPr="005968BF">
        <w:rPr>
          <w:sz w:val="24"/>
          <w:szCs w:val="24"/>
        </w:rPr>
        <w:t xml:space="preserve">Abd Wahab, N. S., &amp; Yusof, M. S. (2020). Ergonomic work design and its influence on healthcare professionals’ well-being and performance. </w:t>
      </w:r>
      <w:r w:rsidRPr="005968BF">
        <w:rPr>
          <w:i/>
          <w:sz w:val="24"/>
          <w:szCs w:val="24"/>
        </w:rPr>
        <w:t>The Asian Journal of Professional &amp; Business Studies</w:t>
      </w:r>
      <w:r w:rsidRPr="005968BF">
        <w:rPr>
          <w:sz w:val="24"/>
          <w:szCs w:val="24"/>
        </w:rPr>
        <w:t xml:space="preserve">, </w:t>
      </w:r>
      <w:r w:rsidRPr="005968BF">
        <w:rPr>
          <w:i/>
          <w:sz w:val="24"/>
          <w:szCs w:val="24"/>
        </w:rPr>
        <w:t>1</w:t>
      </w:r>
      <w:r w:rsidRPr="005968BF">
        <w:rPr>
          <w:sz w:val="24"/>
          <w:szCs w:val="24"/>
        </w:rPr>
        <w:t>(2), 90–107. https://doi.org/10.61688/ajpbs.v1i2.298</w:t>
      </w:r>
    </w:p>
    <w:p w14:paraId="5F8D4CDD" w14:textId="77777777" w:rsidR="005968BF" w:rsidRPr="005968BF" w:rsidRDefault="005968BF" w:rsidP="005968BF">
      <w:pPr>
        <w:spacing w:after="120"/>
        <w:ind w:left="397" w:hanging="397"/>
        <w:jc w:val="both"/>
        <w:rPr>
          <w:sz w:val="24"/>
          <w:szCs w:val="24"/>
        </w:rPr>
      </w:pPr>
      <w:r w:rsidRPr="005968BF">
        <w:rPr>
          <w:sz w:val="24"/>
          <w:szCs w:val="24"/>
        </w:rPr>
        <w:t xml:space="preserve">Agarwal, R., Gao, G., DesRoches, C., &amp; Jha, A. K. (2010). Research commentary: The digital transformation of healthcare: Current status and the road ahead. </w:t>
      </w:r>
      <w:r w:rsidRPr="005968BF">
        <w:rPr>
          <w:i/>
          <w:sz w:val="24"/>
          <w:szCs w:val="24"/>
        </w:rPr>
        <w:t>Information Systems Research</w:t>
      </w:r>
      <w:r w:rsidRPr="005968BF">
        <w:rPr>
          <w:sz w:val="24"/>
          <w:szCs w:val="24"/>
        </w:rPr>
        <w:t xml:space="preserve">, </w:t>
      </w:r>
      <w:r w:rsidRPr="005968BF">
        <w:rPr>
          <w:i/>
          <w:sz w:val="24"/>
          <w:szCs w:val="24"/>
        </w:rPr>
        <w:t>21</w:t>
      </w:r>
      <w:r w:rsidRPr="005968BF">
        <w:rPr>
          <w:sz w:val="24"/>
          <w:szCs w:val="24"/>
        </w:rPr>
        <w:t>(4), 796–809. https://doi.org/10.1287/isre.1100.0327</w:t>
      </w:r>
    </w:p>
    <w:p w14:paraId="4ACA9ED7" w14:textId="77777777" w:rsidR="005968BF" w:rsidRPr="005968BF" w:rsidRDefault="005968BF" w:rsidP="005968BF">
      <w:pPr>
        <w:spacing w:after="120"/>
        <w:ind w:left="397" w:hanging="397"/>
        <w:jc w:val="both"/>
        <w:rPr>
          <w:sz w:val="24"/>
          <w:szCs w:val="24"/>
        </w:rPr>
      </w:pPr>
      <w:r w:rsidRPr="005968BF">
        <w:rPr>
          <w:sz w:val="24"/>
          <w:szCs w:val="24"/>
        </w:rPr>
        <w:t xml:space="preserve">Bates, D. W., Saria, S., Ohno-Machado, L., Shah, A., &amp; Escobar, G. (2014). Big data in health care: Using analytics to identify and manage high-risk and high-cost patients. </w:t>
      </w:r>
      <w:r w:rsidRPr="005968BF">
        <w:rPr>
          <w:i/>
          <w:sz w:val="24"/>
          <w:szCs w:val="24"/>
        </w:rPr>
        <w:t>Health Affairs</w:t>
      </w:r>
      <w:r w:rsidRPr="005968BF">
        <w:rPr>
          <w:sz w:val="24"/>
          <w:szCs w:val="24"/>
        </w:rPr>
        <w:t xml:space="preserve">, </w:t>
      </w:r>
      <w:r w:rsidRPr="005968BF">
        <w:rPr>
          <w:i/>
          <w:sz w:val="24"/>
          <w:szCs w:val="24"/>
        </w:rPr>
        <w:t>33</w:t>
      </w:r>
      <w:r w:rsidRPr="005968BF">
        <w:rPr>
          <w:sz w:val="24"/>
          <w:szCs w:val="24"/>
        </w:rPr>
        <w:t>(7), 1123–1131. https://doi.org/10.1377/hlthaff.2014.0041</w:t>
      </w:r>
    </w:p>
    <w:p w14:paraId="5A3C6ECD" w14:textId="77777777" w:rsidR="005968BF" w:rsidRPr="005968BF" w:rsidRDefault="005968BF" w:rsidP="005968BF">
      <w:pPr>
        <w:spacing w:after="120"/>
        <w:ind w:left="397" w:hanging="397"/>
        <w:jc w:val="both"/>
        <w:rPr>
          <w:sz w:val="24"/>
          <w:szCs w:val="24"/>
        </w:rPr>
      </w:pPr>
      <w:r w:rsidRPr="005968BF">
        <w:rPr>
          <w:sz w:val="24"/>
          <w:szCs w:val="24"/>
        </w:rPr>
        <w:t xml:space="preserve">Boonstra, A., &amp; Broekhuis, M. (2010). Barriers to the acceptance of electronic medical records by physicians from systematic review to taxonomy and interventions. </w:t>
      </w:r>
      <w:r w:rsidRPr="005968BF">
        <w:rPr>
          <w:i/>
          <w:sz w:val="24"/>
          <w:szCs w:val="24"/>
        </w:rPr>
        <w:t>BMC Health Services Research</w:t>
      </w:r>
      <w:r w:rsidRPr="005968BF">
        <w:rPr>
          <w:sz w:val="24"/>
          <w:szCs w:val="24"/>
        </w:rPr>
        <w:t xml:space="preserve">, </w:t>
      </w:r>
      <w:r w:rsidRPr="005968BF">
        <w:rPr>
          <w:i/>
          <w:sz w:val="24"/>
          <w:szCs w:val="24"/>
        </w:rPr>
        <w:t>10</w:t>
      </w:r>
      <w:r w:rsidRPr="005968BF">
        <w:rPr>
          <w:sz w:val="24"/>
          <w:szCs w:val="24"/>
        </w:rPr>
        <w:t>, 231. https://doi.org/10.1186/1472-6963-10-231</w:t>
      </w:r>
    </w:p>
    <w:p w14:paraId="5B73A05D" w14:textId="77777777" w:rsidR="005968BF" w:rsidRPr="005968BF" w:rsidRDefault="005968BF" w:rsidP="005968BF">
      <w:pPr>
        <w:spacing w:after="120"/>
        <w:ind w:left="397" w:hanging="397"/>
        <w:jc w:val="both"/>
        <w:rPr>
          <w:sz w:val="24"/>
          <w:szCs w:val="24"/>
        </w:rPr>
      </w:pPr>
      <w:r w:rsidRPr="005968BF">
        <w:rPr>
          <w:sz w:val="24"/>
          <w:szCs w:val="24"/>
        </w:rPr>
        <w:lastRenderedPageBreak/>
        <w:t xml:space="preserve">Carayon, P., Schoofs Hundt, A., Karsh, B.-T., Gurses, A. P., Alvarado, C. J., Smith, M., &amp; Brennan, P. F. (2006). Work system design for patient safety: The SEIPS model. </w:t>
      </w:r>
      <w:r w:rsidRPr="005968BF">
        <w:rPr>
          <w:i/>
          <w:sz w:val="24"/>
          <w:szCs w:val="24"/>
        </w:rPr>
        <w:t>Quality and Safety in Health Care</w:t>
      </w:r>
      <w:r w:rsidRPr="005968BF">
        <w:rPr>
          <w:sz w:val="24"/>
          <w:szCs w:val="24"/>
        </w:rPr>
        <w:t xml:space="preserve">, </w:t>
      </w:r>
      <w:r w:rsidRPr="005968BF">
        <w:rPr>
          <w:i/>
          <w:sz w:val="24"/>
          <w:szCs w:val="24"/>
        </w:rPr>
        <w:t>15</w:t>
      </w:r>
      <w:r w:rsidRPr="005968BF">
        <w:rPr>
          <w:sz w:val="24"/>
          <w:szCs w:val="24"/>
        </w:rPr>
        <w:t>(Suppl 1), i50–i58. https://doi.org/10.1136/qshc.2005.015842</w:t>
      </w:r>
    </w:p>
    <w:p w14:paraId="7DDBED38" w14:textId="77777777" w:rsidR="005968BF" w:rsidRPr="005968BF" w:rsidRDefault="005968BF" w:rsidP="005968BF">
      <w:pPr>
        <w:spacing w:after="120"/>
        <w:ind w:left="397" w:hanging="397"/>
        <w:jc w:val="both"/>
        <w:rPr>
          <w:sz w:val="24"/>
          <w:szCs w:val="24"/>
        </w:rPr>
      </w:pPr>
      <w:r w:rsidRPr="005968BF">
        <w:rPr>
          <w:sz w:val="24"/>
          <w:szCs w:val="24"/>
        </w:rPr>
        <w:t xml:space="preserve">Crawford, A., &amp; Serhal, E. (2020). Digital health equity and COVID-19: The innovation curve cannot reinforce the social gradient of health. </w:t>
      </w:r>
      <w:r w:rsidRPr="005968BF">
        <w:rPr>
          <w:i/>
          <w:sz w:val="24"/>
          <w:szCs w:val="24"/>
        </w:rPr>
        <w:t>Journal of Medical Internet Research</w:t>
      </w:r>
      <w:r w:rsidRPr="005968BF">
        <w:rPr>
          <w:sz w:val="24"/>
          <w:szCs w:val="24"/>
        </w:rPr>
        <w:t xml:space="preserve">, </w:t>
      </w:r>
      <w:r w:rsidRPr="005968BF">
        <w:rPr>
          <w:i/>
          <w:sz w:val="24"/>
          <w:szCs w:val="24"/>
        </w:rPr>
        <w:t>22</w:t>
      </w:r>
      <w:r w:rsidRPr="005968BF">
        <w:rPr>
          <w:sz w:val="24"/>
          <w:szCs w:val="24"/>
        </w:rPr>
        <w:t>(6), e19361. https://doi.org/10.2196/19361</w:t>
      </w:r>
    </w:p>
    <w:p w14:paraId="79286A96" w14:textId="77777777" w:rsidR="005968BF" w:rsidRPr="005968BF" w:rsidRDefault="005968BF" w:rsidP="005968BF">
      <w:pPr>
        <w:spacing w:after="120"/>
        <w:ind w:left="397" w:hanging="397"/>
        <w:jc w:val="both"/>
        <w:rPr>
          <w:sz w:val="24"/>
          <w:szCs w:val="24"/>
        </w:rPr>
      </w:pPr>
      <w:r w:rsidRPr="005968BF">
        <w:rPr>
          <w:sz w:val="24"/>
          <w:szCs w:val="24"/>
        </w:rPr>
        <w:t xml:space="preserve">Cresswell, K. M., Bates, D. W., &amp; Sheikh, A. (2013). Ten key considerations for the successful implementation and adoption of large-scale health information technology. </w:t>
      </w:r>
      <w:r w:rsidRPr="005968BF">
        <w:rPr>
          <w:i/>
          <w:sz w:val="24"/>
          <w:szCs w:val="24"/>
        </w:rPr>
        <w:t>Journal of the American Medical Informatics Association</w:t>
      </w:r>
      <w:r w:rsidRPr="005968BF">
        <w:rPr>
          <w:sz w:val="24"/>
          <w:szCs w:val="24"/>
        </w:rPr>
        <w:t xml:space="preserve">, </w:t>
      </w:r>
      <w:r w:rsidRPr="005968BF">
        <w:rPr>
          <w:i/>
          <w:sz w:val="24"/>
          <w:szCs w:val="24"/>
        </w:rPr>
        <w:t>20</w:t>
      </w:r>
      <w:r w:rsidRPr="005968BF">
        <w:rPr>
          <w:sz w:val="24"/>
          <w:szCs w:val="24"/>
        </w:rPr>
        <w:t>(e1), e9–e13. https://doi.org/10.1136/amiajnl-2013-001684</w:t>
      </w:r>
    </w:p>
    <w:p w14:paraId="1E8DF667" w14:textId="77777777" w:rsidR="005968BF" w:rsidRPr="005968BF" w:rsidRDefault="005968BF" w:rsidP="005968BF">
      <w:pPr>
        <w:spacing w:after="120"/>
        <w:ind w:left="397" w:hanging="397"/>
        <w:jc w:val="both"/>
        <w:rPr>
          <w:sz w:val="24"/>
          <w:szCs w:val="24"/>
        </w:rPr>
      </w:pPr>
      <w:r w:rsidRPr="005968BF">
        <w:rPr>
          <w:sz w:val="24"/>
          <w:szCs w:val="24"/>
        </w:rPr>
        <w:t xml:space="preserve">Dorsey, E. R., &amp; Topol, E. J. (2016). State of telehealth. </w:t>
      </w:r>
      <w:r w:rsidRPr="005968BF">
        <w:rPr>
          <w:i/>
          <w:sz w:val="24"/>
          <w:szCs w:val="24"/>
        </w:rPr>
        <w:t>The New England Journal of Medicine</w:t>
      </w:r>
      <w:r w:rsidRPr="005968BF">
        <w:rPr>
          <w:sz w:val="24"/>
          <w:szCs w:val="24"/>
        </w:rPr>
        <w:t xml:space="preserve">, </w:t>
      </w:r>
      <w:r w:rsidRPr="005968BF">
        <w:rPr>
          <w:i/>
          <w:sz w:val="24"/>
          <w:szCs w:val="24"/>
        </w:rPr>
        <w:t>375</w:t>
      </w:r>
      <w:r w:rsidRPr="005968BF">
        <w:rPr>
          <w:sz w:val="24"/>
          <w:szCs w:val="24"/>
        </w:rPr>
        <w:t>(2), 154–161. https://doi.org/10.1056/NEJMra1601705</w:t>
      </w:r>
    </w:p>
    <w:p w14:paraId="47329546" w14:textId="77777777" w:rsidR="005968BF" w:rsidRPr="005968BF" w:rsidRDefault="005968BF" w:rsidP="005968BF">
      <w:pPr>
        <w:spacing w:after="120"/>
        <w:ind w:left="397" w:hanging="397"/>
        <w:jc w:val="both"/>
        <w:rPr>
          <w:sz w:val="24"/>
          <w:szCs w:val="24"/>
        </w:rPr>
      </w:pPr>
      <w:r w:rsidRPr="005968BF">
        <w:rPr>
          <w:sz w:val="24"/>
          <w:szCs w:val="24"/>
        </w:rPr>
        <w:t xml:space="preserve">Esteva, A., Robicquet, A., Ramsundar, B., Kuleshov, V., DePristo, M., Chou, K., Cui, C., Corrado, G., Thrun, S., &amp; Dean, J. (2019). A guide to deep learning in healthcare. </w:t>
      </w:r>
      <w:r w:rsidRPr="005968BF">
        <w:rPr>
          <w:i/>
          <w:sz w:val="24"/>
          <w:szCs w:val="24"/>
        </w:rPr>
        <w:t>Nature Medicine</w:t>
      </w:r>
      <w:r w:rsidRPr="005968BF">
        <w:rPr>
          <w:sz w:val="24"/>
          <w:szCs w:val="24"/>
        </w:rPr>
        <w:t xml:space="preserve">, </w:t>
      </w:r>
      <w:r w:rsidRPr="005968BF">
        <w:rPr>
          <w:i/>
          <w:sz w:val="24"/>
          <w:szCs w:val="24"/>
        </w:rPr>
        <w:t>25</w:t>
      </w:r>
      <w:r w:rsidRPr="005968BF">
        <w:rPr>
          <w:sz w:val="24"/>
          <w:szCs w:val="24"/>
        </w:rPr>
        <w:t>(1), 24–29. https://doi.org/10.1038/s41591-018-0316-z</w:t>
      </w:r>
    </w:p>
    <w:p w14:paraId="7A957FAF" w14:textId="77777777" w:rsidR="005968BF" w:rsidRPr="005968BF" w:rsidRDefault="005968BF" w:rsidP="005968BF">
      <w:pPr>
        <w:spacing w:after="120"/>
        <w:ind w:left="397" w:hanging="397"/>
        <w:jc w:val="both"/>
        <w:rPr>
          <w:sz w:val="24"/>
          <w:szCs w:val="24"/>
        </w:rPr>
      </w:pPr>
      <w:r w:rsidRPr="005968BF">
        <w:rPr>
          <w:sz w:val="24"/>
          <w:szCs w:val="24"/>
        </w:rPr>
        <w:t xml:space="preserve">Golinelli, D., Boetto, E., Carullo, G., Nuzzolese, A. G., Landini, M. P., &amp; Fantini, M. P. (2020). Adoption of digital technologies in health care during the COVID-19 pandemic: Systematic review of early scientific literature. </w:t>
      </w:r>
      <w:r w:rsidRPr="005968BF">
        <w:rPr>
          <w:i/>
          <w:sz w:val="24"/>
          <w:szCs w:val="24"/>
        </w:rPr>
        <w:t>Journal of Medical Internet Research</w:t>
      </w:r>
      <w:r w:rsidRPr="005968BF">
        <w:rPr>
          <w:sz w:val="24"/>
          <w:szCs w:val="24"/>
        </w:rPr>
        <w:t xml:space="preserve">, </w:t>
      </w:r>
      <w:r w:rsidRPr="005968BF">
        <w:rPr>
          <w:i/>
          <w:sz w:val="24"/>
          <w:szCs w:val="24"/>
        </w:rPr>
        <w:t>22</w:t>
      </w:r>
      <w:r w:rsidRPr="005968BF">
        <w:rPr>
          <w:sz w:val="24"/>
          <w:szCs w:val="24"/>
        </w:rPr>
        <w:t>(11), e22280. https://doi.org/10.2196/22280</w:t>
      </w:r>
    </w:p>
    <w:p w14:paraId="545053EF" w14:textId="77777777" w:rsidR="005968BF" w:rsidRPr="005968BF" w:rsidRDefault="005968BF" w:rsidP="005968BF">
      <w:pPr>
        <w:spacing w:after="120"/>
        <w:ind w:left="397" w:hanging="397"/>
        <w:jc w:val="both"/>
        <w:rPr>
          <w:sz w:val="24"/>
          <w:szCs w:val="24"/>
        </w:rPr>
      </w:pPr>
      <w:r w:rsidRPr="005968BF">
        <w:rPr>
          <w:sz w:val="24"/>
          <w:szCs w:val="24"/>
        </w:rPr>
        <w:t xml:space="preserve">Greenhalgh, T., Robert, G., Macfarlane, F., Bate, P., &amp; Kyriakidou, O. (2004). Diffusion of innovations in service organizations: Systematic review and recommendations. </w:t>
      </w:r>
      <w:r w:rsidRPr="005968BF">
        <w:rPr>
          <w:i/>
          <w:sz w:val="24"/>
          <w:szCs w:val="24"/>
        </w:rPr>
        <w:t>The Milbank Quarterly</w:t>
      </w:r>
      <w:r w:rsidRPr="005968BF">
        <w:rPr>
          <w:sz w:val="24"/>
          <w:szCs w:val="24"/>
        </w:rPr>
        <w:t xml:space="preserve">, </w:t>
      </w:r>
      <w:r w:rsidRPr="005968BF">
        <w:rPr>
          <w:i/>
          <w:sz w:val="24"/>
          <w:szCs w:val="24"/>
        </w:rPr>
        <w:t>82</w:t>
      </w:r>
      <w:r w:rsidRPr="005968BF">
        <w:rPr>
          <w:sz w:val="24"/>
          <w:szCs w:val="24"/>
        </w:rPr>
        <w:t>(4), 581–629. https://doi.org/10.1111/j.0887-378X.2004.00325.x</w:t>
      </w:r>
    </w:p>
    <w:p w14:paraId="28B0DF4D" w14:textId="77777777" w:rsidR="005968BF" w:rsidRPr="005968BF" w:rsidRDefault="005968BF" w:rsidP="005968BF">
      <w:pPr>
        <w:spacing w:after="120"/>
        <w:ind w:left="397" w:hanging="397"/>
        <w:jc w:val="both"/>
        <w:rPr>
          <w:sz w:val="24"/>
          <w:szCs w:val="24"/>
        </w:rPr>
      </w:pPr>
      <w:r w:rsidRPr="005968BF">
        <w:rPr>
          <w:sz w:val="24"/>
          <w:szCs w:val="24"/>
        </w:rPr>
        <w:t xml:space="preserve">Greenhalgh, T., Wherton, J., Papoutsi, C., Lynch, J., Hughes, G., A’Court, C., Hinder, S., Fahy, N., Procter, R., &amp; Shaw, S. (2017). Beyond adoption: A new framework for theorizing and evaluating nonadoption, abandonment, and challenges to the scale-up, spread, and sustainability of health and care technologies. </w:t>
      </w:r>
      <w:r w:rsidRPr="005968BF">
        <w:rPr>
          <w:i/>
          <w:sz w:val="24"/>
          <w:szCs w:val="24"/>
        </w:rPr>
        <w:t>Journal of Medical Internet Research</w:t>
      </w:r>
      <w:r w:rsidRPr="005968BF">
        <w:rPr>
          <w:sz w:val="24"/>
          <w:szCs w:val="24"/>
        </w:rPr>
        <w:t xml:space="preserve">, </w:t>
      </w:r>
      <w:r w:rsidRPr="005968BF">
        <w:rPr>
          <w:i/>
          <w:sz w:val="24"/>
          <w:szCs w:val="24"/>
        </w:rPr>
        <w:t>19</w:t>
      </w:r>
      <w:r w:rsidRPr="005968BF">
        <w:rPr>
          <w:sz w:val="24"/>
          <w:szCs w:val="24"/>
        </w:rPr>
        <w:t>(11), e367. https://doi.org/10.2196/jmir.8775</w:t>
      </w:r>
    </w:p>
    <w:p w14:paraId="247360E5" w14:textId="77777777" w:rsidR="005968BF" w:rsidRPr="005968BF" w:rsidRDefault="005968BF" w:rsidP="005968BF">
      <w:pPr>
        <w:spacing w:after="120"/>
        <w:ind w:left="397" w:hanging="397"/>
        <w:jc w:val="both"/>
        <w:rPr>
          <w:sz w:val="24"/>
          <w:szCs w:val="24"/>
        </w:rPr>
      </w:pPr>
      <w:r w:rsidRPr="005968BF">
        <w:rPr>
          <w:sz w:val="24"/>
          <w:szCs w:val="24"/>
        </w:rPr>
        <w:t xml:space="preserve">Holden, R. J., Carayon, P., Gurses, A. P., Hoonakker, P., Hundt, A. S., Ozok, A. A., &amp; Rivera-Rodriguez, A. J. (2013). SEIPS 2.0: A human factors framework for studying and improving the work of healthcare professionals and patients. </w:t>
      </w:r>
      <w:r w:rsidRPr="005968BF">
        <w:rPr>
          <w:i/>
          <w:sz w:val="24"/>
          <w:szCs w:val="24"/>
        </w:rPr>
        <w:t>Ergonomics</w:t>
      </w:r>
      <w:r w:rsidRPr="005968BF">
        <w:rPr>
          <w:sz w:val="24"/>
          <w:szCs w:val="24"/>
        </w:rPr>
        <w:t xml:space="preserve">, </w:t>
      </w:r>
      <w:r w:rsidRPr="005968BF">
        <w:rPr>
          <w:i/>
          <w:sz w:val="24"/>
          <w:szCs w:val="24"/>
        </w:rPr>
        <w:t>56</w:t>
      </w:r>
      <w:r w:rsidRPr="005968BF">
        <w:rPr>
          <w:sz w:val="24"/>
          <w:szCs w:val="24"/>
        </w:rPr>
        <w:t>(11), 1669–1686. https://doi.org/10.1080/00140139.2013.838643</w:t>
      </w:r>
    </w:p>
    <w:p w14:paraId="7958F573" w14:textId="77777777" w:rsidR="005968BF" w:rsidRPr="005968BF" w:rsidRDefault="005968BF" w:rsidP="005968BF">
      <w:pPr>
        <w:spacing w:after="120"/>
        <w:ind w:left="397" w:hanging="397"/>
        <w:jc w:val="both"/>
        <w:rPr>
          <w:sz w:val="24"/>
          <w:szCs w:val="24"/>
        </w:rPr>
      </w:pPr>
      <w:r w:rsidRPr="005968BF">
        <w:rPr>
          <w:sz w:val="24"/>
          <w:szCs w:val="24"/>
        </w:rPr>
        <w:t xml:space="preserve">Irizarry, T., DeVito Dabbs, A., &amp; Curran, C. R. (2015). Patient portals and patient engagement: A state of the science review. </w:t>
      </w:r>
      <w:r w:rsidRPr="005968BF">
        <w:rPr>
          <w:i/>
          <w:sz w:val="24"/>
          <w:szCs w:val="24"/>
        </w:rPr>
        <w:t>Journal of Medical Internet Research</w:t>
      </w:r>
      <w:r w:rsidRPr="005968BF">
        <w:rPr>
          <w:sz w:val="24"/>
          <w:szCs w:val="24"/>
        </w:rPr>
        <w:t xml:space="preserve">, </w:t>
      </w:r>
      <w:r w:rsidRPr="005968BF">
        <w:rPr>
          <w:i/>
          <w:sz w:val="24"/>
          <w:szCs w:val="24"/>
        </w:rPr>
        <w:t>17</w:t>
      </w:r>
      <w:r w:rsidRPr="005968BF">
        <w:rPr>
          <w:sz w:val="24"/>
          <w:szCs w:val="24"/>
        </w:rPr>
        <w:t>(6), e148. https://doi.org/10.2196/jmir.4255</w:t>
      </w:r>
    </w:p>
    <w:p w14:paraId="64CD28D2" w14:textId="77777777" w:rsidR="005968BF" w:rsidRPr="005968BF" w:rsidRDefault="005968BF" w:rsidP="005968BF">
      <w:pPr>
        <w:spacing w:after="120"/>
        <w:ind w:left="397" w:hanging="397"/>
        <w:jc w:val="both"/>
        <w:rPr>
          <w:sz w:val="24"/>
          <w:szCs w:val="24"/>
        </w:rPr>
      </w:pPr>
      <w:r w:rsidRPr="005968BF">
        <w:rPr>
          <w:sz w:val="24"/>
          <w:szCs w:val="24"/>
        </w:rPr>
        <w:t xml:space="preserve">Keesara, S., Jonas, A., &amp; Schulman, K. (2020). Covid-19 and health care’s digital revolution. </w:t>
      </w:r>
      <w:r w:rsidRPr="005968BF">
        <w:rPr>
          <w:i/>
          <w:sz w:val="24"/>
          <w:szCs w:val="24"/>
        </w:rPr>
        <w:t>The New England Journal of Medicine</w:t>
      </w:r>
      <w:r w:rsidRPr="005968BF">
        <w:rPr>
          <w:sz w:val="24"/>
          <w:szCs w:val="24"/>
        </w:rPr>
        <w:t xml:space="preserve">, </w:t>
      </w:r>
      <w:r w:rsidRPr="005968BF">
        <w:rPr>
          <w:i/>
          <w:sz w:val="24"/>
          <w:szCs w:val="24"/>
        </w:rPr>
        <w:t>382</w:t>
      </w:r>
      <w:r w:rsidRPr="005968BF">
        <w:rPr>
          <w:sz w:val="24"/>
          <w:szCs w:val="24"/>
        </w:rPr>
        <w:t>(23), e82. https://doi.org/10.1056/NEJMp2005835</w:t>
      </w:r>
    </w:p>
    <w:p w14:paraId="2DA3FDCC" w14:textId="77777777" w:rsidR="005968BF" w:rsidRPr="005968BF" w:rsidRDefault="005968BF" w:rsidP="005968BF">
      <w:pPr>
        <w:spacing w:after="120"/>
        <w:ind w:left="397" w:hanging="397"/>
        <w:jc w:val="both"/>
        <w:rPr>
          <w:sz w:val="24"/>
          <w:szCs w:val="24"/>
        </w:rPr>
      </w:pPr>
      <w:r w:rsidRPr="005968BF">
        <w:rPr>
          <w:sz w:val="24"/>
          <w:szCs w:val="24"/>
        </w:rPr>
        <w:t xml:space="preserve">Kelly, C. J., Karthikesalingam, A., Suleyman, M., Corrado, G., &amp; King, D. (2019). Key challenges for delivering clinical impact with artificial intelligence. </w:t>
      </w:r>
      <w:r w:rsidRPr="005968BF">
        <w:rPr>
          <w:i/>
          <w:sz w:val="24"/>
          <w:szCs w:val="24"/>
        </w:rPr>
        <w:t>BMC Medicine</w:t>
      </w:r>
      <w:r w:rsidRPr="005968BF">
        <w:rPr>
          <w:sz w:val="24"/>
          <w:szCs w:val="24"/>
        </w:rPr>
        <w:t xml:space="preserve">, </w:t>
      </w:r>
      <w:r w:rsidRPr="005968BF">
        <w:rPr>
          <w:i/>
          <w:sz w:val="24"/>
          <w:szCs w:val="24"/>
        </w:rPr>
        <w:t>17</w:t>
      </w:r>
      <w:r w:rsidRPr="005968BF">
        <w:rPr>
          <w:sz w:val="24"/>
          <w:szCs w:val="24"/>
        </w:rPr>
        <w:t>, 195. https://doi.org/10.1186/s12916-019-1426-2</w:t>
      </w:r>
    </w:p>
    <w:p w14:paraId="074C381B" w14:textId="77777777" w:rsidR="005968BF" w:rsidRPr="005968BF" w:rsidRDefault="005968BF" w:rsidP="005968BF">
      <w:pPr>
        <w:spacing w:after="120"/>
        <w:ind w:left="397" w:hanging="397"/>
        <w:jc w:val="both"/>
        <w:rPr>
          <w:sz w:val="24"/>
          <w:szCs w:val="24"/>
        </w:rPr>
      </w:pPr>
      <w:r w:rsidRPr="005968BF">
        <w:rPr>
          <w:sz w:val="24"/>
          <w:szCs w:val="24"/>
        </w:rPr>
        <w:lastRenderedPageBreak/>
        <w:t xml:space="preserve">Kraus, S., Schiavone, F., Pluzhnikova, A., &amp; Invernizzi, A. C. (2021). Digital transformation in healthcare: Analyzing the current state-of-research. </w:t>
      </w:r>
      <w:r w:rsidRPr="005968BF">
        <w:rPr>
          <w:i/>
          <w:sz w:val="24"/>
          <w:szCs w:val="24"/>
        </w:rPr>
        <w:t>Journal of Business Research</w:t>
      </w:r>
      <w:r w:rsidRPr="005968BF">
        <w:rPr>
          <w:sz w:val="24"/>
          <w:szCs w:val="24"/>
        </w:rPr>
        <w:t xml:space="preserve">, </w:t>
      </w:r>
      <w:r w:rsidRPr="005968BF">
        <w:rPr>
          <w:i/>
          <w:sz w:val="24"/>
          <w:szCs w:val="24"/>
        </w:rPr>
        <w:t>123</w:t>
      </w:r>
      <w:r w:rsidRPr="005968BF">
        <w:rPr>
          <w:sz w:val="24"/>
          <w:szCs w:val="24"/>
        </w:rPr>
        <w:t>, 557–567. https://doi.org/10.1016/j.jbusres.2020.10.030</w:t>
      </w:r>
    </w:p>
    <w:p w14:paraId="121111BE" w14:textId="77777777" w:rsidR="005968BF" w:rsidRPr="005968BF" w:rsidRDefault="005968BF" w:rsidP="005968BF">
      <w:pPr>
        <w:spacing w:after="120"/>
        <w:ind w:left="397" w:hanging="397"/>
        <w:jc w:val="both"/>
        <w:rPr>
          <w:sz w:val="24"/>
          <w:szCs w:val="24"/>
        </w:rPr>
      </w:pPr>
      <w:r w:rsidRPr="005968BF">
        <w:rPr>
          <w:sz w:val="24"/>
          <w:szCs w:val="24"/>
        </w:rPr>
        <w:t xml:space="preserve">Kruse, C. S., Krowski, N., Rodriguez, B., Tran, L., Vela, J., &amp; Brooks, M. (2017). Telehealth and patient satisfaction: A systematic review and narrative analysis. </w:t>
      </w:r>
      <w:r w:rsidRPr="005968BF">
        <w:rPr>
          <w:i/>
          <w:sz w:val="24"/>
          <w:szCs w:val="24"/>
        </w:rPr>
        <w:t>BMJ Open</w:t>
      </w:r>
      <w:r w:rsidRPr="005968BF">
        <w:rPr>
          <w:sz w:val="24"/>
          <w:szCs w:val="24"/>
        </w:rPr>
        <w:t xml:space="preserve">, </w:t>
      </w:r>
      <w:r w:rsidRPr="005968BF">
        <w:rPr>
          <w:i/>
          <w:sz w:val="24"/>
          <w:szCs w:val="24"/>
        </w:rPr>
        <w:t>7</w:t>
      </w:r>
      <w:r w:rsidRPr="005968BF">
        <w:rPr>
          <w:sz w:val="24"/>
          <w:szCs w:val="24"/>
        </w:rPr>
        <w:t>(8), e016242. https://doi.org/10.1136/bmjopen-2017-016242</w:t>
      </w:r>
    </w:p>
    <w:p w14:paraId="33E266C3" w14:textId="77777777" w:rsidR="005968BF" w:rsidRPr="005968BF" w:rsidRDefault="005968BF" w:rsidP="005968BF">
      <w:pPr>
        <w:spacing w:after="120"/>
        <w:ind w:left="397" w:hanging="397"/>
        <w:jc w:val="both"/>
        <w:rPr>
          <w:sz w:val="24"/>
          <w:szCs w:val="24"/>
        </w:rPr>
      </w:pPr>
      <w:r w:rsidRPr="005968BF">
        <w:rPr>
          <w:sz w:val="24"/>
          <w:szCs w:val="24"/>
        </w:rPr>
        <w:t xml:space="preserve">Mishra, A., &amp; Pandey, N. (2023). Global entrepreneurship in healthcare: A systematic literature review and bibliometric analysis. </w:t>
      </w:r>
      <w:r w:rsidRPr="005968BF">
        <w:rPr>
          <w:i/>
          <w:sz w:val="24"/>
          <w:szCs w:val="24"/>
        </w:rPr>
        <w:t>Global Business and Organizational Excellence</w:t>
      </w:r>
      <w:r w:rsidRPr="005968BF">
        <w:rPr>
          <w:sz w:val="24"/>
          <w:szCs w:val="24"/>
        </w:rPr>
        <w:t xml:space="preserve">, </w:t>
      </w:r>
      <w:r w:rsidRPr="005968BF">
        <w:rPr>
          <w:i/>
          <w:sz w:val="24"/>
          <w:szCs w:val="24"/>
        </w:rPr>
        <w:t>42</w:t>
      </w:r>
      <w:r w:rsidRPr="005968BF">
        <w:rPr>
          <w:sz w:val="24"/>
          <w:szCs w:val="24"/>
        </w:rPr>
        <w:t>(5), 9–21. https://doi.org/10.1002/joe.22193</w:t>
      </w:r>
    </w:p>
    <w:p w14:paraId="0F8D1E49" w14:textId="77777777" w:rsidR="005968BF" w:rsidRPr="005968BF" w:rsidRDefault="005968BF" w:rsidP="005968BF">
      <w:pPr>
        <w:spacing w:after="120"/>
        <w:ind w:left="397" w:hanging="397"/>
        <w:jc w:val="both"/>
        <w:rPr>
          <w:sz w:val="24"/>
          <w:szCs w:val="24"/>
        </w:rPr>
      </w:pPr>
      <w:r w:rsidRPr="005968BF">
        <w:rPr>
          <w:sz w:val="24"/>
          <w:szCs w:val="24"/>
        </w:rPr>
        <w:t xml:space="preserve">Morley, J., Machado, C. C. V., Burr, C., Cowls, J., Joshi, I., Taddeo, M., &amp; Floridi, L. (2020). The ethics of AI in health care: A mapping review. </w:t>
      </w:r>
      <w:r w:rsidRPr="005968BF">
        <w:rPr>
          <w:i/>
          <w:sz w:val="24"/>
          <w:szCs w:val="24"/>
        </w:rPr>
        <w:t>Social Science &amp; Medicine</w:t>
      </w:r>
      <w:r w:rsidRPr="005968BF">
        <w:rPr>
          <w:sz w:val="24"/>
          <w:szCs w:val="24"/>
        </w:rPr>
        <w:t xml:space="preserve">, </w:t>
      </w:r>
      <w:r w:rsidRPr="005968BF">
        <w:rPr>
          <w:i/>
          <w:sz w:val="24"/>
          <w:szCs w:val="24"/>
        </w:rPr>
        <w:t>260</w:t>
      </w:r>
      <w:r w:rsidRPr="005968BF">
        <w:rPr>
          <w:sz w:val="24"/>
          <w:szCs w:val="24"/>
        </w:rPr>
        <w:t>, 113172. https://doi.org/10.1016/j.socscimed.2020.113172</w:t>
      </w:r>
    </w:p>
    <w:p w14:paraId="33CF8906" w14:textId="77777777" w:rsidR="005968BF" w:rsidRPr="005968BF" w:rsidRDefault="005968BF" w:rsidP="005968BF">
      <w:pPr>
        <w:spacing w:after="120"/>
        <w:ind w:left="397" w:hanging="397"/>
        <w:jc w:val="both"/>
        <w:rPr>
          <w:sz w:val="24"/>
          <w:szCs w:val="24"/>
        </w:rPr>
      </w:pPr>
      <w:r w:rsidRPr="005968BF">
        <w:rPr>
          <w:sz w:val="24"/>
          <w:szCs w:val="24"/>
        </w:rPr>
        <w:t xml:space="preserve">Nambisan, S. (2017). Digital entrepreneurship: Toward a digital technology perspective of entrepreneurship. </w:t>
      </w:r>
      <w:r w:rsidRPr="005968BF">
        <w:rPr>
          <w:i/>
          <w:sz w:val="24"/>
          <w:szCs w:val="24"/>
        </w:rPr>
        <w:t>Entrepreneurship Theory and Practice</w:t>
      </w:r>
      <w:r w:rsidRPr="005968BF">
        <w:rPr>
          <w:sz w:val="24"/>
          <w:szCs w:val="24"/>
        </w:rPr>
        <w:t xml:space="preserve">, </w:t>
      </w:r>
      <w:r w:rsidRPr="005968BF">
        <w:rPr>
          <w:i/>
          <w:sz w:val="24"/>
          <w:szCs w:val="24"/>
        </w:rPr>
        <w:t>41</w:t>
      </w:r>
      <w:r w:rsidRPr="005968BF">
        <w:rPr>
          <w:sz w:val="24"/>
          <w:szCs w:val="24"/>
        </w:rPr>
        <w:t>(6), 1029–1055. https://doi.org/10.1111/etap.12254</w:t>
      </w:r>
    </w:p>
    <w:p w14:paraId="3BC86EFE" w14:textId="77777777" w:rsidR="005968BF" w:rsidRPr="005968BF" w:rsidRDefault="005968BF" w:rsidP="005968BF">
      <w:pPr>
        <w:spacing w:after="120"/>
        <w:ind w:left="397" w:hanging="397"/>
        <w:jc w:val="both"/>
        <w:rPr>
          <w:sz w:val="24"/>
          <w:szCs w:val="24"/>
        </w:rPr>
      </w:pPr>
      <w:r w:rsidRPr="005968BF">
        <w:rPr>
          <w:sz w:val="24"/>
          <w:szCs w:val="24"/>
        </w:rPr>
        <w:t xml:space="preserve">Nambisan, S., Lyytinen, K., Majchrzak, A., &amp; Song, M. (2019). Digital innovation management: Reinventing innovation management research in a digital world. </w:t>
      </w:r>
      <w:r w:rsidRPr="005968BF">
        <w:rPr>
          <w:i/>
          <w:sz w:val="24"/>
          <w:szCs w:val="24"/>
        </w:rPr>
        <w:t>MIS Quarterly</w:t>
      </w:r>
      <w:r w:rsidRPr="005968BF">
        <w:rPr>
          <w:sz w:val="24"/>
          <w:szCs w:val="24"/>
        </w:rPr>
        <w:t xml:space="preserve">, </w:t>
      </w:r>
      <w:r w:rsidRPr="005968BF">
        <w:rPr>
          <w:i/>
          <w:sz w:val="24"/>
          <w:szCs w:val="24"/>
        </w:rPr>
        <w:t>43</w:t>
      </w:r>
      <w:r w:rsidRPr="005968BF">
        <w:rPr>
          <w:sz w:val="24"/>
          <w:szCs w:val="24"/>
        </w:rPr>
        <w:t>(1), 223–238. https://doi.org/10.25300/MISQ/2019/14427</w:t>
      </w:r>
    </w:p>
    <w:p w14:paraId="1356C883" w14:textId="77777777" w:rsidR="005968BF" w:rsidRPr="005968BF" w:rsidRDefault="005968BF" w:rsidP="005968BF">
      <w:pPr>
        <w:spacing w:after="120"/>
        <w:ind w:left="397" w:hanging="397"/>
        <w:jc w:val="both"/>
        <w:rPr>
          <w:sz w:val="24"/>
          <w:szCs w:val="24"/>
        </w:rPr>
      </w:pPr>
      <w:r w:rsidRPr="005968BF">
        <w:rPr>
          <w:sz w:val="24"/>
          <w:szCs w:val="24"/>
        </w:rPr>
        <w:t xml:space="preserve">Norman, C. D., &amp; Skinner, H. A. (2006). eHealth literacy: Essential skills for consumer health in a networked world. </w:t>
      </w:r>
      <w:r w:rsidRPr="005968BF">
        <w:rPr>
          <w:i/>
          <w:sz w:val="24"/>
          <w:szCs w:val="24"/>
        </w:rPr>
        <w:t>Journal of Medical Internet Research</w:t>
      </w:r>
      <w:r w:rsidRPr="005968BF">
        <w:rPr>
          <w:sz w:val="24"/>
          <w:szCs w:val="24"/>
        </w:rPr>
        <w:t xml:space="preserve">, </w:t>
      </w:r>
      <w:r w:rsidRPr="005968BF">
        <w:rPr>
          <w:i/>
          <w:sz w:val="24"/>
          <w:szCs w:val="24"/>
        </w:rPr>
        <w:t>8</w:t>
      </w:r>
      <w:r w:rsidRPr="005968BF">
        <w:rPr>
          <w:sz w:val="24"/>
          <w:szCs w:val="24"/>
        </w:rPr>
        <w:t>(2), e9. https://doi.org/10.2196/jmir.8.2.e9</w:t>
      </w:r>
    </w:p>
    <w:p w14:paraId="035712F3" w14:textId="77777777" w:rsidR="005968BF" w:rsidRPr="005968BF" w:rsidRDefault="005968BF" w:rsidP="005968BF">
      <w:pPr>
        <w:spacing w:after="120"/>
        <w:ind w:left="397" w:hanging="397"/>
        <w:jc w:val="both"/>
        <w:rPr>
          <w:sz w:val="24"/>
          <w:szCs w:val="24"/>
        </w:rPr>
      </w:pPr>
      <w:r w:rsidRPr="005968BF">
        <w:rPr>
          <w:sz w:val="24"/>
          <w:szCs w:val="24"/>
        </w:rPr>
        <w:t xml:space="preserve">Obermeyer, Z., Powers, B., Vogeli, C., &amp; Mullainathan, S. (2019). Dissecting racial bias in an algorithm used to manage the health of populations. </w:t>
      </w:r>
      <w:r w:rsidRPr="005968BF">
        <w:rPr>
          <w:i/>
          <w:sz w:val="24"/>
          <w:szCs w:val="24"/>
        </w:rPr>
        <w:t>Science</w:t>
      </w:r>
      <w:r w:rsidRPr="005968BF">
        <w:rPr>
          <w:sz w:val="24"/>
          <w:szCs w:val="24"/>
        </w:rPr>
        <w:t xml:space="preserve">, </w:t>
      </w:r>
      <w:r w:rsidRPr="005968BF">
        <w:rPr>
          <w:i/>
          <w:sz w:val="24"/>
          <w:szCs w:val="24"/>
        </w:rPr>
        <w:t>366</w:t>
      </w:r>
      <w:r w:rsidRPr="005968BF">
        <w:rPr>
          <w:sz w:val="24"/>
          <w:szCs w:val="24"/>
        </w:rPr>
        <w:t>(6464), 447–453. https://doi.org/10.1126/science.aax2342</w:t>
      </w:r>
    </w:p>
    <w:p w14:paraId="3E7EA116" w14:textId="77777777" w:rsidR="005968BF" w:rsidRPr="005968BF" w:rsidRDefault="005968BF" w:rsidP="005968BF">
      <w:pPr>
        <w:spacing w:after="120"/>
        <w:ind w:left="397" w:hanging="397"/>
        <w:jc w:val="both"/>
        <w:rPr>
          <w:sz w:val="24"/>
          <w:szCs w:val="24"/>
        </w:rPr>
      </w:pPr>
      <w:r w:rsidRPr="005968BF">
        <w:rPr>
          <w:sz w:val="24"/>
          <w:szCs w:val="24"/>
        </w:rPr>
        <w:t xml:space="preserve">Perski, O., Blandford, A., West, R., &amp; Michie, S. (2017). Conceptualising engagement with digital behaviour change interventions: A systematic review using principles from critical interpretive synthesis. </w:t>
      </w:r>
      <w:r w:rsidRPr="005968BF">
        <w:rPr>
          <w:i/>
          <w:sz w:val="24"/>
          <w:szCs w:val="24"/>
        </w:rPr>
        <w:t>Translational Behavioral Medicine</w:t>
      </w:r>
      <w:r w:rsidRPr="005968BF">
        <w:rPr>
          <w:sz w:val="24"/>
          <w:szCs w:val="24"/>
        </w:rPr>
        <w:t xml:space="preserve">, </w:t>
      </w:r>
      <w:r w:rsidRPr="005968BF">
        <w:rPr>
          <w:i/>
          <w:sz w:val="24"/>
          <w:szCs w:val="24"/>
        </w:rPr>
        <w:t>7</w:t>
      </w:r>
      <w:r w:rsidRPr="005968BF">
        <w:rPr>
          <w:sz w:val="24"/>
          <w:szCs w:val="24"/>
        </w:rPr>
        <w:t>(2), 254–267. https://doi.org/10.1007/s13142-016-0453-1</w:t>
      </w:r>
    </w:p>
    <w:p w14:paraId="1AF6944C" w14:textId="77777777" w:rsidR="005968BF" w:rsidRPr="005968BF" w:rsidRDefault="005968BF" w:rsidP="005968BF">
      <w:pPr>
        <w:spacing w:after="120"/>
        <w:ind w:left="397" w:hanging="397"/>
        <w:jc w:val="both"/>
        <w:rPr>
          <w:sz w:val="24"/>
          <w:szCs w:val="24"/>
        </w:rPr>
      </w:pPr>
      <w:r w:rsidRPr="005968BF">
        <w:rPr>
          <w:sz w:val="24"/>
          <w:szCs w:val="24"/>
        </w:rPr>
        <w:t xml:space="preserve">Rajkomar, A., Dean, J., &amp; Kohane, I. (2019). Machine learning in medicine. </w:t>
      </w:r>
      <w:r w:rsidRPr="005968BF">
        <w:rPr>
          <w:i/>
          <w:sz w:val="24"/>
          <w:szCs w:val="24"/>
        </w:rPr>
        <w:t>The New England Journal of Medicine</w:t>
      </w:r>
      <w:r w:rsidRPr="005968BF">
        <w:rPr>
          <w:sz w:val="24"/>
          <w:szCs w:val="24"/>
        </w:rPr>
        <w:t xml:space="preserve">, </w:t>
      </w:r>
      <w:r w:rsidRPr="005968BF">
        <w:rPr>
          <w:i/>
          <w:sz w:val="24"/>
          <w:szCs w:val="24"/>
        </w:rPr>
        <w:t>380</w:t>
      </w:r>
      <w:r w:rsidRPr="005968BF">
        <w:rPr>
          <w:sz w:val="24"/>
          <w:szCs w:val="24"/>
        </w:rPr>
        <w:t>(14), 1347–1358. https://doi.org/10.1056/NEJMra1814259</w:t>
      </w:r>
    </w:p>
    <w:p w14:paraId="00A3F025" w14:textId="77777777" w:rsidR="005968BF" w:rsidRPr="005968BF" w:rsidRDefault="005968BF" w:rsidP="005968BF">
      <w:pPr>
        <w:spacing w:after="120"/>
        <w:ind w:left="397" w:hanging="397"/>
        <w:jc w:val="both"/>
        <w:rPr>
          <w:sz w:val="24"/>
          <w:szCs w:val="24"/>
        </w:rPr>
      </w:pPr>
      <w:r w:rsidRPr="005968BF">
        <w:rPr>
          <w:sz w:val="24"/>
          <w:szCs w:val="24"/>
        </w:rPr>
        <w:t xml:space="preserve">Richardson, S., Lawrence, K., Schoenthaler, A. M., &amp; Mann, D. (2022). A framework for digital health equity. </w:t>
      </w:r>
      <w:r w:rsidRPr="005968BF">
        <w:rPr>
          <w:i/>
          <w:sz w:val="24"/>
          <w:szCs w:val="24"/>
        </w:rPr>
        <w:t>npj Digital Medicine</w:t>
      </w:r>
      <w:r w:rsidRPr="005968BF">
        <w:rPr>
          <w:sz w:val="24"/>
          <w:szCs w:val="24"/>
        </w:rPr>
        <w:t xml:space="preserve">, </w:t>
      </w:r>
      <w:r w:rsidRPr="005968BF">
        <w:rPr>
          <w:i/>
          <w:sz w:val="24"/>
          <w:szCs w:val="24"/>
        </w:rPr>
        <w:t>5</w:t>
      </w:r>
      <w:r w:rsidRPr="005968BF">
        <w:rPr>
          <w:sz w:val="24"/>
          <w:szCs w:val="24"/>
        </w:rPr>
        <w:t>, 119. https://doi.org/10.1038/s41746-022-00663-0</w:t>
      </w:r>
    </w:p>
    <w:p w14:paraId="2C406853" w14:textId="77777777" w:rsidR="005968BF" w:rsidRPr="005968BF" w:rsidRDefault="005968BF" w:rsidP="005968BF">
      <w:pPr>
        <w:spacing w:after="120"/>
        <w:ind w:left="397" w:hanging="397"/>
        <w:jc w:val="both"/>
        <w:rPr>
          <w:sz w:val="24"/>
          <w:szCs w:val="24"/>
        </w:rPr>
      </w:pPr>
      <w:r w:rsidRPr="005968BF">
        <w:rPr>
          <w:sz w:val="24"/>
          <w:szCs w:val="24"/>
        </w:rPr>
        <w:t xml:space="preserve">Rieke, N., Hancox, J., Li, W., Milletarì, F., Roth, H. R., Albarqouni, S., Bakas, S., Galtier, M. N., Landman, B. A., Maier-Hein, K., Ourselin, S., Sheller, M., Summers, R. M., Trask, A., Xu, D., Baust, M., &amp; Cardoso, M. J. (2020). The future of digital health with federated learning. </w:t>
      </w:r>
      <w:r w:rsidRPr="005968BF">
        <w:rPr>
          <w:i/>
          <w:sz w:val="24"/>
          <w:szCs w:val="24"/>
        </w:rPr>
        <w:t>npj Digital Medicine</w:t>
      </w:r>
      <w:r w:rsidRPr="005968BF">
        <w:rPr>
          <w:sz w:val="24"/>
          <w:szCs w:val="24"/>
        </w:rPr>
        <w:t xml:space="preserve">, </w:t>
      </w:r>
      <w:r w:rsidRPr="005968BF">
        <w:rPr>
          <w:i/>
          <w:sz w:val="24"/>
          <w:szCs w:val="24"/>
        </w:rPr>
        <w:t>3</w:t>
      </w:r>
      <w:r w:rsidRPr="005968BF">
        <w:rPr>
          <w:sz w:val="24"/>
          <w:szCs w:val="24"/>
        </w:rPr>
        <w:t>, 119. https://doi.org/10.1038/s41746-020-00323-1</w:t>
      </w:r>
    </w:p>
    <w:p w14:paraId="3DEF0A6D" w14:textId="77777777" w:rsidR="005968BF" w:rsidRPr="005968BF" w:rsidRDefault="005968BF" w:rsidP="005968BF">
      <w:pPr>
        <w:spacing w:after="120"/>
        <w:ind w:left="397" w:hanging="397"/>
        <w:jc w:val="both"/>
        <w:rPr>
          <w:sz w:val="24"/>
          <w:szCs w:val="24"/>
        </w:rPr>
      </w:pPr>
      <w:r w:rsidRPr="005968BF">
        <w:rPr>
          <w:sz w:val="24"/>
          <w:szCs w:val="24"/>
        </w:rPr>
        <w:t xml:space="preserve">Sinsky, C., Colligan, L., Li, L., Prgomet, M., Reynolds, S., Goeders, L., Westbrook, J., Tutty, M., &amp; Blike, G. (2016). Allocation of physician time in ambulatory practice: A time and motion study in 4 specialties. </w:t>
      </w:r>
      <w:r w:rsidRPr="005968BF">
        <w:rPr>
          <w:i/>
          <w:sz w:val="24"/>
          <w:szCs w:val="24"/>
        </w:rPr>
        <w:t>Annals of Internal Medicine</w:t>
      </w:r>
      <w:r w:rsidRPr="005968BF">
        <w:rPr>
          <w:sz w:val="24"/>
          <w:szCs w:val="24"/>
        </w:rPr>
        <w:t xml:space="preserve">, </w:t>
      </w:r>
      <w:r w:rsidRPr="005968BF">
        <w:rPr>
          <w:i/>
          <w:sz w:val="24"/>
          <w:szCs w:val="24"/>
        </w:rPr>
        <w:t>165</w:t>
      </w:r>
      <w:r w:rsidRPr="005968BF">
        <w:rPr>
          <w:sz w:val="24"/>
          <w:szCs w:val="24"/>
        </w:rPr>
        <w:t>(11), 753–760. https://doi.org/10.7326/M16-0961</w:t>
      </w:r>
    </w:p>
    <w:p w14:paraId="166FC783" w14:textId="77777777" w:rsidR="005968BF" w:rsidRPr="005968BF" w:rsidRDefault="005968BF" w:rsidP="005968BF">
      <w:pPr>
        <w:spacing w:after="120"/>
        <w:ind w:left="397" w:hanging="397"/>
        <w:jc w:val="both"/>
        <w:rPr>
          <w:sz w:val="24"/>
          <w:szCs w:val="24"/>
        </w:rPr>
      </w:pPr>
      <w:r w:rsidRPr="005968BF">
        <w:rPr>
          <w:sz w:val="24"/>
          <w:szCs w:val="24"/>
        </w:rPr>
        <w:lastRenderedPageBreak/>
        <w:t xml:space="preserve">Sittig, D. F., &amp; Singh, H. (2010). A new sociotechnical model for studying health information technology in complex adaptive healthcare systems. </w:t>
      </w:r>
      <w:r w:rsidRPr="005968BF">
        <w:rPr>
          <w:i/>
          <w:sz w:val="24"/>
          <w:szCs w:val="24"/>
        </w:rPr>
        <w:t>Quality and Safety in Health Care</w:t>
      </w:r>
      <w:r w:rsidRPr="005968BF">
        <w:rPr>
          <w:sz w:val="24"/>
          <w:szCs w:val="24"/>
        </w:rPr>
        <w:t xml:space="preserve">, </w:t>
      </w:r>
      <w:r w:rsidRPr="005968BF">
        <w:rPr>
          <w:i/>
          <w:sz w:val="24"/>
          <w:szCs w:val="24"/>
        </w:rPr>
        <w:t>19</w:t>
      </w:r>
      <w:r w:rsidRPr="005968BF">
        <w:rPr>
          <w:sz w:val="24"/>
          <w:szCs w:val="24"/>
        </w:rPr>
        <w:t>(Suppl 3), i68–i74. https://doi.org/10.1136/qshc.2010.042085</w:t>
      </w:r>
    </w:p>
    <w:p w14:paraId="5945A888" w14:textId="77777777" w:rsidR="005968BF" w:rsidRPr="005968BF" w:rsidRDefault="005968BF" w:rsidP="005968BF">
      <w:pPr>
        <w:spacing w:after="120"/>
        <w:ind w:left="397" w:hanging="397"/>
        <w:jc w:val="both"/>
        <w:rPr>
          <w:sz w:val="24"/>
          <w:szCs w:val="24"/>
        </w:rPr>
      </w:pPr>
      <w:r w:rsidRPr="005968BF">
        <w:rPr>
          <w:sz w:val="24"/>
          <w:szCs w:val="24"/>
        </w:rPr>
        <w:t xml:space="preserve">Teece, D. J. (2007). Explicating dynamic capabilities: The nature and microfoundations of sustainable enterprise performance. </w:t>
      </w:r>
      <w:r w:rsidRPr="005968BF">
        <w:rPr>
          <w:i/>
          <w:sz w:val="24"/>
          <w:szCs w:val="24"/>
        </w:rPr>
        <w:t>Strategic Management Journal</w:t>
      </w:r>
      <w:r w:rsidRPr="005968BF">
        <w:rPr>
          <w:sz w:val="24"/>
          <w:szCs w:val="24"/>
        </w:rPr>
        <w:t xml:space="preserve">, </w:t>
      </w:r>
      <w:r w:rsidRPr="005968BF">
        <w:rPr>
          <w:i/>
          <w:sz w:val="24"/>
          <w:szCs w:val="24"/>
        </w:rPr>
        <w:t>28</w:t>
      </w:r>
      <w:r w:rsidRPr="005968BF">
        <w:rPr>
          <w:sz w:val="24"/>
          <w:szCs w:val="24"/>
        </w:rPr>
        <w:t>(13), 1319–1350. https://doi.org/10.1002/smj.640</w:t>
      </w:r>
    </w:p>
    <w:p w14:paraId="605F4F3B" w14:textId="77777777" w:rsidR="005968BF" w:rsidRPr="005968BF" w:rsidRDefault="005968BF" w:rsidP="005968BF">
      <w:pPr>
        <w:spacing w:after="120"/>
        <w:ind w:left="397" w:hanging="397"/>
        <w:jc w:val="both"/>
        <w:rPr>
          <w:sz w:val="24"/>
          <w:szCs w:val="24"/>
        </w:rPr>
      </w:pPr>
      <w:r w:rsidRPr="005968BF">
        <w:rPr>
          <w:sz w:val="24"/>
          <w:szCs w:val="24"/>
        </w:rPr>
        <w:t xml:space="preserve">Topol, E. J. (2019). High-performance medicine: The convergence of human and artificial intelligence. </w:t>
      </w:r>
      <w:r w:rsidRPr="005968BF">
        <w:rPr>
          <w:i/>
          <w:sz w:val="24"/>
          <w:szCs w:val="24"/>
        </w:rPr>
        <w:t>Nature Medicine</w:t>
      </w:r>
      <w:r w:rsidRPr="005968BF">
        <w:rPr>
          <w:sz w:val="24"/>
          <w:szCs w:val="24"/>
        </w:rPr>
        <w:t xml:space="preserve">, </w:t>
      </w:r>
      <w:r w:rsidRPr="005968BF">
        <w:rPr>
          <w:i/>
          <w:sz w:val="24"/>
          <w:szCs w:val="24"/>
        </w:rPr>
        <w:t>25</w:t>
      </w:r>
      <w:r w:rsidRPr="005968BF">
        <w:rPr>
          <w:sz w:val="24"/>
          <w:szCs w:val="24"/>
        </w:rPr>
        <w:t>(1), 44–56. https://doi.org/10.1038/s41591-018-0300-7</w:t>
      </w:r>
    </w:p>
    <w:p w14:paraId="436F84DE" w14:textId="77777777" w:rsidR="005968BF" w:rsidRPr="005968BF" w:rsidRDefault="005968BF" w:rsidP="005968BF">
      <w:pPr>
        <w:spacing w:after="120"/>
        <w:ind w:left="397" w:hanging="397"/>
        <w:jc w:val="both"/>
        <w:rPr>
          <w:sz w:val="24"/>
          <w:szCs w:val="24"/>
        </w:rPr>
      </w:pPr>
      <w:r w:rsidRPr="005968BF">
        <w:rPr>
          <w:sz w:val="24"/>
          <w:szCs w:val="24"/>
        </w:rPr>
        <w:t xml:space="preserve">Vayena, E., Blasimme, A., &amp; Cohen, I. G. (2018). Machine learning in medicine: Addressing ethical challenges. </w:t>
      </w:r>
      <w:r w:rsidRPr="005968BF">
        <w:rPr>
          <w:i/>
          <w:sz w:val="24"/>
          <w:szCs w:val="24"/>
        </w:rPr>
        <w:t>PLOS Medicine</w:t>
      </w:r>
      <w:r w:rsidRPr="005968BF">
        <w:rPr>
          <w:sz w:val="24"/>
          <w:szCs w:val="24"/>
        </w:rPr>
        <w:t xml:space="preserve">, </w:t>
      </w:r>
      <w:r w:rsidRPr="005968BF">
        <w:rPr>
          <w:i/>
          <w:sz w:val="24"/>
          <w:szCs w:val="24"/>
        </w:rPr>
        <w:t>15</w:t>
      </w:r>
      <w:r w:rsidRPr="005968BF">
        <w:rPr>
          <w:sz w:val="24"/>
          <w:szCs w:val="24"/>
        </w:rPr>
        <w:t>(11), e1002689. https://doi.org/10.1371/journal.pmed.1002689</w:t>
      </w:r>
    </w:p>
    <w:p w14:paraId="28490AD9" w14:textId="77777777" w:rsidR="005968BF" w:rsidRPr="005968BF" w:rsidRDefault="005968BF" w:rsidP="005968BF">
      <w:pPr>
        <w:spacing w:after="120"/>
        <w:ind w:left="397" w:hanging="397"/>
        <w:jc w:val="both"/>
        <w:rPr>
          <w:sz w:val="24"/>
          <w:szCs w:val="24"/>
        </w:rPr>
      </w:pPr>
      <w:r w:rsidRPr="005968BF">
        <w:rPr>
          <w:sz w:val="24"/>
          <w:szCs w:val="24"/>
        </w:rPr>
        <w:t xml:space="preserve">Vial, G. (2019). Understanding digital transformation: A review and a research agenda. </w:t>
      </w:r>
      <w:r w:rsidRPr="005968BF">
        <w:rPr>
          <w:i/>
          <w:sz w:val="24"/>
          <w:szCs w:val="24"/>
        </w:rPr>
        <w:t>The Journal of Strategic Information Systems</w:t>
      </w:r>
      <w:r w:rsidRPr="005968BF">
        <w:rPr>
          <w:sz w:val="24"/>
          <w:szCs w:val="24"/>
        </w:rPr>
        <w:t xml:space="preserve">, </w:t>
      </w:r>
      <w:r w:rsidRPr="005968BF">
        <w:rPr>
          <w:i/>
          <w:sz w:val="24"/>
          <w:szCs w:val="24"/>
        </w:rPr>
        <w:t>28</w:t>
      </w:r>
      <w:r w:rsidRPr="005968BF">
        <w:rPr>
          <w:sz w:val="24"/>
          <w:szCs w:val="24"/>
        </w:rPr>
        <w:t>(2), 118–144. https://doi.org/10.1016/j.jsis.2019.01.003</w:t>
      </w:r>
    </w:p>
    <w:p w14:paraId="1531E447" w14:textId="77777777" w:rsidR="005968BF" w:rsidRPr="005968BF" w:rsidRDefault="005968BF" w:rsidP="005968BF">
      <w:pPr>
        <w:spacing w:after="120"/>
        <w:ind w:left="397" w:hanging="397"/>
        <w:jc w:val="both"/>
        <w:rPr>
          <w:sz w:val="24"/>
          <w:szCs w:val="24"/>
        </w:rPr>
      </w:pPr>
      <w:r w:rsidRPr="005968BF">
        <w:rPr>
          <w:sz w:val="24"/>
          <w:szCs w:val="24"/>
        </w:rPr>
        <w:t xml:space="preserve">Weimar, S. N., Martjan, R. S., &amp; Terzidis, O. (2025). Conceptualizing the landscape of digital health entrepreneurship: A systematic review and research agenda. </w:t>
      </w:r>
      <w:r w:rsidRPr="005968BF">
        <w:rPr>
          <w:i/>
          <w:sz w:val="24"/>
          <w:szCs w:val="24"/>
        </w:rPr>
        <w:t>Management Review Quarterly</w:t>
      </w:r>
      <w:r w:rsidRPr="005968BF">
        <w:rPr>
          <w:sz w:val="24"/>
          <w:szCs w:val="24"/>
        </w:rPr>
        <w:t xml:space="preserve">, </w:t>
      </w:r>
      <w:r w:rsidRPr="005968BF">
        <w:rPr>
          <w:i/>
          <w:sz w:val="24"/>
          <w:szCs w:val="24"/>
        </w:rPr>
        <w:t>75</w:t>
      </w:r>
      <w:r w:rsidRPr="005968BF">
        <w:rPr>
          <w:sz w:val="24"/>
          <w:szCs w:val="24"/>
        </w:rPr>
        <w:t>, 1619–1667. https://doi.org/10.1007/s11301-024-00417-0</w:t>
      </w:r>
    </w:p>
    <w:p w14:paraId="360F292C" w14:textId="77777777" w:rsidR="005968BF" w:rsidRPr="005968BF" w:rsidRDefault="005968BF" w:rsidP="005968BF">
      <w:pPr>
        <w:spacing w:after="120"/>
        <w:ind w:left="397" w:hanging="397"/>
        <w:jc w:val="both"/>
        <w:rPr>
          <w:sz w:val="24"/>
          <w:szCs w:val="24"/>
        </w:rPr>
      </w:pPr>
      <w:r w:rsidRPr="005968BF">
        <w:rPr>
          <w:sz w:val="24"/>
          <w:szCs w:val="24"/>
        </w:rPr>
        <w:t xml:space="preserve">Whitehead, L., Talevski, J., Fatehi, F., &amp; Beauchamp, A. (2023). Barriers to and facilitators of digital health among culturally and linguistically diverse populations: Qualitative systematic review. </w:t>
      </w:r>
      <w:r w:rsidRPr="005968BF">
        <w:rPr>
          <w:i/>
          <w:sz w:val="24"/>
          <w:szCs w:val="24"/>
        </w:rPr>
        <w:t>Journal of Medical Internet Research</w:t>
      </w:r>
      <w:r w:rsidRPr="005968BF">
        <w:rPr>
          <w:sz w:val="24"/>
          <w:szCs w:val="24"/>
        </w:rPr>
        <w:t xml:space="preserve">, </w:t>
      </w:r>
      <w:r w:rsidRPr="005968BF">
        <w:rPr>
          <w:i/>
          <w:sz w:val="24"/>
          <w:szCs w:val="24"/>
        </w:rPr>
        <w:t>25</w:t>
      </w:r>
      <w:r w:rsidRPr="005968BF">
        <w:rPr>
          <w:sz w:val="24"/>
          <w:szCs w:val="24"/>
        </w:rPr>
        <w:t>, e42719. https://doi.org/10.2196/42719</w:t>
      </w:r>
    </w:p>
    <w:p w14:paraId="7EAB4B5B" w14:textId="77777777" w:rsidR="005968BF" w:rsidRPr="005968BF" w:rsidRDefault="005968BF" w:rsidP="005968BF">
      <w:pPr>
        <w:spacing w:after="120"/>
        <w:ind w:left="397" w:hanging="397"/>
        <w:jc w:val="both"/>
        <w:rPr>
          <w:sz w:val="24"/>
          <w:szCs w:val="24"/>
        </w:rPr>
      </w:pPr>
      <w:r w:rsidRPr="005968BF">
        <w:rPr>
          <w:sz w:val="24"/>
          <w:szCs w:val="24"/>
        </w:rPr>
        <w:t xml:space="preserve">Wiens, J., Saria, S., Sendak, M., Ghassemi, M., Liu, V. X., Doshi-Velez, F., Jung, K., Heller, K., Kale, D., Saeed, M., Ossorio, P. N., Thadaney-Israni, S., &amp; Goldenberg, A. (2019). Do no harm: A roadmap for responsible machine learning for health care. </w:t>
      </w:r>
      <w:r w:rsidRPr="005968BF">
        <w:rPr>
          <w:i/>
          <w:sz w:val="24"/>
          <w:szCs w:val="24"/>
        </w:rPr>
        <w:t>Nature Medicine</w:t>
      </w:r>
      <w:r w:rsidRPr="005968BF">
        <w:rPr>
          <w:sz w:val="24"/>
          <w:szCs w:val="24"/>
        </w:rPr>
        <w:t xml:space="preserve">, </w:t>
      </w:r>
      <w:r w:rsidRPr="005968BF">
        <w:rPr>
          <w:i/>
          <w:sz w:val="24"/>
          <w:szCs w:val="24"/>
        </w:rPr>
        <w:t>25</w:t>
      </w:r>
      <w:r w:rsidRPr="005968BF">
        <w:rPr>
          <w:sz w:val="24"/>
          <w:szCs w:val="24"/>
        </w:rPr>
        <w:t>(9), 1337–1340. https://doi.org/10.1038/s41591-019-0548-6</w:t>
      </w:r>
    </w:p>
    <w:p w14:paraId="0C76E21D" w14:textId="77777777" w:rsidR="005968BF" w:rsidRPr="005968BF" w:rsidRDefault="005968BF" w:rsidP="005968BF">
      <w:pPr>
        <w:spacing w:after="120"/>
        <w:ind w:left="397" w:hanging="397"/>
        <w:jc w:val="both"/>
        <w:rPr>
          <w:sz w:val="24"/>
          <w:szCs w:val="24"/>
        </w:rPr>
      </w:pPr>
      <w:r w:rsidRPr="005968BF">
        <w:rPr>
          <w:sz w:val="24"/>
          <w:szCs w:val="24"/>
        </w:rPr>
        <w:t xml:space="preserve">Wilcock, A. D., Rose, S., Busch, A. B., Huskamp, H. A., Uscher-Pines, L., Landon, B., &amp; Mehrotra, A. (2019). Association between broadband internet availability and telemedicine use. </w:t>
      </w:r>
      <w:r w:rsidRPr="005968BF">
        <w:rPr>
          <w:i/>
          <w:sz w:val="24"/>
          <w:szCs w:val="24"/>
        </w:rPr>
        <w:t>JAMA Internal Medicine</w:t>
      </w:r>
      <w:r w:rsidRPr="005968BF">
        <w:rPr>
          <w:sz w:val="24"/>
          <w:szCs w:val="24"/>
        </w:rPr>
        <w:t xml:space="preserve">, </w:t>
      </w:r>
      <w:r w:rsidRPr="005968BF">
        <w:rPr>
          <w:i/>
          <w:sz w:val="24"/>
          <w:szCs w:val="24"/>
        </w:rPr>
        <w:t>179</w:t>
      </w:r>
      <w:r w:rsidRPr="005968BF">
        <w:rPr>
          <w:sz w:val="24"/>
          <w:szCs w:val="24"/>
        </w:rPr>
        <w:t>(11), 1580–1582. https://doi.org/10.1001/jamainternmed.2019.2234</w:t>
      </w:r>
    </w:p>
    <w:p w14:paraId="47CD3658" w14:textId="77777777" w:rsidR="005968BF" w:rsidRPr="005968BF" w:rsidRDefault="005968BF" w:rsidP="005968BF">
      <w:pPr>
        <w:spacing w:after="120"/>
        <w:ind w:left="397" w:hanging="397"/>
        <w:jc w:val="both"/>
        <w:rPr>
          <w:sz w:val="24"/>
          <w:szCs w:val="24"/>
        </w:rPr>
      </w:pPr>
      <w:r w:rsidRPr="005968BF">
        <w:rPr>
          <w:sz w:val="24"/>
          <w:szCs w:val="24"/>
        </w:rPr>
        <w:t xml:space="preserve">Wosik, J., Fudim, M., Cameron, B., Gellad, Z. F., Cho, A., Phinney, D., Curtis, S., Roman, M., Poon, E. G., Ferranti, J., Katz, J. N., &amp; Tcheng, J. (2020). Telehealth transformation: COVID-19 and the rise of virtual care. </w:t>
      </w:r>
      <w:r w:rsidRPr="005968BF">
        <w:rPr>
          <w:i/>
          <w:sz w:val="24"/>
          <w:szCs w:val="24"/>
        </w:rPr>
        <w:t>Journal of the American Medical Informatics Association</w:t>
      </w:r>
      <w:r w:rsidRPr="005968BF">
        <w:rPr>
          <w:sz w:val="24"/>
          <w:szCs w:val="24"/>
        </w:rPr>
        <w:t xml:space="preserve">, </w:t>
      </w:r>
      <w:r w:rsidRPr="005968BF">
        <w:rPr>
          <w:i/>
          <w:sz w:val="24"/>
          <w:szCs w:val="24"/>
        </w:rPr>
        <w:t>27</w:t>
      </w:r>
      <w:r w:rsidRPr="005968BF">
        <w:rPr>
          <w:sz w:val="24"/>
          <w:szCs w:val="24"/>
        </w:rPr>
        <w:t>(6), 957–962. https://doi.org/10.1093/jamia/ocaa067</w:t>
      </w:r>
    </w:p>
    <w:p w14:paraId="26AAB692" w14:textId="77777777" w:rsidR="005968BF" w:rsidRPr="005968BF" w:rsidRDefault="005968BF" w:rsidP="005968BF">
      <w:pPr>
        <w:spacing w:after="120"/>
        <w:ind w:left="397" w:hanging="397"/>
        <w:jc w:val="both"/>
        <w:rPr>
          <w:sz w:val="24"/>
          <w:szCs w:val="24"/>
        </w:rPr>
      </w:pPr>
      <w:r w:rsidRPr="005968BF">
        <w:rPr>
          <w:sz w:val="24"/>
          <w:szCs w:val="24"/>
        </w:rPr>
        <w:t xml:space="preserve">Yamin, C. K., Emani, S., Williams, D. H., Lipsitz, S. R., Karson, A. S., Wald, J. S., &amp; Bates, D. W. (2011). The digital divide in adoption and use of a personal health record. </w:t>
      </w:r>
      <w:r w:rsidRPr="005968BF">
        <w:rPr>
          <w:i/>
          <w:sz w:val="24"/>
          <w:szCs w:val="24"/>
        </w:rPr>
        <w:t>Archives of Internal Medicine</w:t>
      </w:r>
      <w:r w:rsidRPr="005968BF">
        <w:rPr>
          <w:sz w:val="24"/>
          <w:szCs w:val="24"/>
        </w:rPr>
        <w:t xml:space="preserve">, </w:t>
      </w:r>
      <w:r w:rsidRPr="005968BF">
        <w:rPr>
          <w:i/>
          <w:sz w:val="24"/>
          <w:szCs w:val="24"/>
        </w:rPr>
        <w:t>171</w:t>
      </w:r>
      <w:r w:rsidRPr="005968BF">
        <w:rPr>
          <w:sz w:val="24"/>
          <w:szCs w:val="24"/>
        </w:rPr>
        <w:t>(6), 568–574. https://doi.org/10.1001/archinternmed.2011.34</w:t>
      </w:r>
    </w:p>
    <w:p w14:paraId="7E2AC864" w14:textId="77777777" w:rsidR="005968BF" w:rsidRPr="005968BF" w:rsidRDefault="005968BF" w:rsidP="005968BF">
      <w:pPr>
        <w:spacing w:after="120"/>
        <w:ind w:left="397" w:hanging="397"/>
        <w:jc w:val="both"/>
        <w:rPr>
          <w:sz w:val="24"/>
          <w:szCs w:val="24"/>
        </w:rPr>
      </w:pPr>
      <w:r w:rsidRPr="005968BF">
        <w:rPr>
          <w:sz w:val="24"/>
          <w:szCs w:val="24"/>
        </w:rPr>
        <w:t xml:space="preserve">Yusof, M. S., &amp; Abd Wahab, N. S. (2020a). Advancing sustainable healthcare workplaces through human centred ergonomic work design. </w:t>
      </w:r>
      <w:r w:rsidRPr="005968BF">
        <w:rPr>
          <w:i/>
          <w:sz w:val="24"/>
          <w:szCs w:val="24"/>
        </w:rPr>
        <w:t>The Asian Journal of Professional &amp; Business Studies</w:t>
      </w:r>
      <w:r w:rsidRPr="005968BF">
        <w:rPr>
          <w:sz w:val="24"/>
          <w:szCs w:val="24"/>
        </w:rPr>
        <w:t xml:space="preserve">, </w:t>
      </w:r>
      <w:r w:rsidRPr="005968BF">
        <w:rPr>
          <w:i/>
          <w:sz w:val="24"/>
          <w:szCs w:val="24"/>
        </w:rPr>
        <w:t>1</w:t>
      </w:r>
      <w:r w:rsidRPr="005968BF">
        <w:rPr>
          <w:sz w:val="24"/>
          <w:szCs w:val="24"/>
        </w:rPr>
        <w:t>(2), 108–126. https://doi.org/10.61688/ajpbs.v1i2.330</w:t>
      </w:r>
    </w:p>
    <w:p w14:paraId="4A569DDD" w14:textId="77777777" w:rsidR="005968BF" w:rsidRPr="005968BF" w:rsidRDefault="005968BF" w:rsidP="005968BF">
      <w:pPr>
        <w:spacing w:after="120"/>
        <w:ind w:left="397" w:hanging="397"/>
        <w:jc w:val="both"/>
        <w:rPr>
          <w:sz w:val="24"/>
          <w:szCs w:val="24"/>
        </w:rPr>
      </w:pPr>
      <w:r w:rsidRPr="005968BF">
        <w:rPr>
          <w:sz w:val="24"/>
          <w:szCs w:val="24"/>
        </w:rPr>
        <w:t xml:space="preserve">Yusof, M. S., &amp; Abd Wahab, N. S. (2020b). Strengthening hospital management through ethical leadership and professional integrity. </w:t>
      </w:r>
      <w:r w:rsidRPr="005968BF">
        <w:rPr>
          <w:i/>
          <w:sz w:val="24"/>
          <w:szCs w:val="24"/>
        </w:rPr>
        <w:t>The Asian Journal of Professional &amp; Business Studies</w:t>
      </w:r>
      <w:r w:rsidRPr="005968BF">
        <w:rPr>
          <w:sz w:val="24"/>
          <w:szCs w:val="24"/>
        </w:rPr>
        <w:t xml:space="preserve">, </w:t>
      </w:r>
      <w:r w:rsidRPr="005968BF">
        <w:rPr>
          <w:i/>
          <w:sz w:val="24"/>
          <w:szCs w:val="24"/>
        </w:rPr>
        <w:t>1</w:t>
      </w:r>
      <w:r w:rsidRPr="005968BF">
        <w:rPr>
          <w:sz w:val="24"/>
          <w:szCs w:val="24"/>
        </w:rPr>
        <w:t>(1), 59–75. https://doi.org/10.61688/ajpbs.v1i1.8</w:t>
      </w:r>
    </w:p>
    <w:p w14:paraId="77F2F2BC" w14:textId="77777777" w:rsidR="005968BF" w:rsidRPr="005968BF" w:rsidRDefault="005968BF" w:rsidP="005968BF">
      <w:pPr>
        <w:spacing w:after="120"/>
        <w:ind w:left="397" w:hanging="397"/>
        <w:jc w:val="both"/>
        <w:rPr>
          <w:sz w:val="24"/>
          <w:szCs w:val="24"/>
        </w:rPr>
      </w:pPr>
      <w:r w:rsidRPr="005968BF">
        <w:rPr>
          <w:sz w:val="24"/>
          <w:szCs w:val="24"/>
        </w:rPr>
        <w:lastRenderedPageBreak/>
        <w:t xml:space="preserve">Yusof, M. S., &amp; Abd Wahab, N. S. (2020c). Transforming healthcare work systems through human-centred ergonomic innovation. </w:t>
      </w:r>
      <w:r w:rsidRPr="005968BF">
        <w:rPr>
          <w:i/>
          <w:sz w:val="24"/>
          <w:szCs w:val="24"/>
        </w:rPr>
        <w:t>The Asian Journal of Professional &amp; Business Studies</w:t>
      </w:r>
      <w:r w:rsidRPr="005968BF">
        <w:rPr>
          <w:sz w:val="24"/>
          <w:szCs w:val="24"/>
        </w:rPr>
        <w:t xml:space="preserve">, </w:t>
      </w:r>
      <w:r w:rsidRPr="005968BF">
        <w:rPr>
          <w:i/>
          <w:sz w:val="24"/>
          <w:szCs w:val="24"/>
        </w:rPr>
        <w:t>1</w:t>
      </w:r>
      <w:r w:rsidRPr="005968BF">
        <w:rPr>
          <w:sz w:val="24"/>
          <w:szCs w:val="24"/>
        </w:rPr>
        <w:t>(1), 93–110. https://doi.org/10.61688/ajpbs.v1i1.134</w:t>
      </w:r>
    </w:p>
    <w:p w14:paraId="3E571321" w14:textId="77777777" w:rsidR="005968BF" w:rsidRPr="005968BF" w:rsidRDefault="005968BF" w:rsidP="005968BF">
      <w:pPr>
        <w:spacing w:after="120"/>
        <w:ind w:left="397" w:hanging="397"/>
        <w:jc w:val="both"/>
        <w:rPr>
          <w:sz w:val="24"/>
          <w:szCs w:val="24"/>
        </w:rPr>
      </w:pPr>
      <w:r w:rsidRPr="005968BF">
        <w:rPr>
          <w:sz w:val="24"/>
          <w:szCs w:val="24"/>
        </w:rPr>
        <w:t xml:space="preserve">Yusof, M. S., &amp; Abd Wahab, N. S. (2021). Balancing technology and ethics in the transformation of modern hospital healthcare. </w:t>
      </w:r>
      <w:r w:rsidRPr="005968BF">
        <w:rPr>
          <w:i/>
          <w:sz w:val="24"/>
          <w:szCs w:val="24"/>
        </w:rPr>
        <w:t>The Asian Journal of Professional &amp; Business Studies</w:t>
      </w:r>
      <w:r w:rsidRPr="005968BF">
        <w:rPr>
          <w:sz w:val="24"/>
          <w:szCs w:val="24"/>
        </w:rPr>
        <w:t xml:space="preserve">, </w:t>
      </w:r>
      <w:r w:rsidRPr="005968BF">
        <w:rPr>
          <w:i/>
          <w:sz w:val="24"/>
          <w:szCs w:val="24"/>
        </w:rPr>
        <w:t>2</w:t>
      </w:r>
      <w:r w:rsidRPr="005968BF">
        <w:rPr>
          <w:sz w:val="24"/>
          <w:szCs w:val="24"/>
        </w:rPr>
        <w:t>(1), 16–34. https://doi.org/10.61688/ajpbs.v2i1.146</w:t>
      </w:r>
    </w:p>
    <w:p w14:paraId="2D85A425" w14:textId="77777777" w:rsidR="005968BF" w:rsidRPr="005968BF" w:rsidRDefault="005968BF" w:rsidP="005968BF">
      <w:pPr>
        <w:spacing w:after="120"/>
        <w:ind w:left="397" w:hanging="397"/>
        <w:jc w:val="both"/>
        <w:rPr>
          <w:sz w:val="24"/>
          <w:szCs w:val="24"/>
        </w:rPr>
      </w:pPr>
      <w:r w:rsidRPr="005968BF">
        <w:rPr>
          <w:sz w:val="24"/>
          <w:szCs w:val="24"/>
        </w:rPr>
        <w:t xml:space="preserve">Yusof, M. S., &amp; Razali, H. (2020). Navigating organisational uncertainty through risk perception and managerial judgement. </w:t>
      </w:r>
      <w:r w:rsidRPr="005968BF">
        <w:rPr>
          <w:i/>
          <w:sz w:val="24"/>
          <w:szCs w:val="24"/>
        </w:rPr>
        <w:t>The Asian Journal of Professional &amp; Business Studies</w:t>
      </w:r>
      <w:r w:rsidRPr="005968BF">
        <w:rPr>
          <w:sz w:val="24"/>
          <w:szCs w:val="24"/>
        </w:rPr>
        <w:t xml:space="preserve">, </w:t>
      </w:r>
      <w:r w:rsidRPr="005968BF">
        <w:rPr>
          <w:i/>
          <w:sz w:val="24"/>
          <w:szCs w:val="24"/>
        </w:rPr>
        <w:t>1</w:t>
      </w:r>
      <w:r w:rsidRPr="005968BF">
        <w:rPr>
          <w:sz w:val="24"/>
          <w:szCs w:val="24"/>
        </w:rPr>
        <w:t>(1), 76–92. https://doi.org/10.61688/ajpbs.v1i1.69</w:t>
      </w:r>
    </w:p>
    <w:p w14:paraId="7AF6DA08" w14:textId="77777777" w:rsidR="005968BF" w:rsidRPr="005968BF" w:rsidRDefault="005968BF" w:rsidP="005968BF">
      <w:pPr>
        <w:spacing w:after="120"/>
        <w:ind w:left="397" w:hanging="397"/>
        <w:jc w:val="both"/>
        <w:rPr>
          <w:sz w:val="24"/>
          <w:szCs w:val="24"/>
        </w:rPr>
      </w:pPr>
      <w:r w:rsidRPr="005968BF">
        <w:rPr>
          <w:sz w:val="24"/>
          <w:szCs w:val="24"/>
        </w:rPr>
        <w:t xml:space="preserve">Yusof, M. S., Salleh, M. N., &amp; Zahari, F. M. (2020). The relationship between information technology capability and new product development success: A conceptual framework. </w:t>
      </w:r>
      <w:r w:rsidRPr="005968BF">
        <w:rPr>
          <w:i/>
          <w:sz w:val="24"/>
          <w:szCs w:val="24"/>
        </w:rPr>
        <w:t>International Journal of Business and Technology Management</w:t>
      </w:r>
      <w:r w:rsidRPr="005968BF">
        <w:rPr>
          <w:sz w:val="24"/>
          <w:szCs w:val="24"/>
        </w:rPr>
        <w:t xml:space="preserve">, </w:t>
      </w:r>
      <w:r w:rsidRPr="005968BF">
        <w:rPr>
          <w:i/>
          <w:sz w:val="24"/>
          <w:szCs w:val="24"/>
        </w:rPr>
        <w:t>2</w:t>
      </w:r>
      <w:r w:rsidRPr="005968BF">
        <w:rPr>
          <w:sz w:val="24"/>
          <w:szCs w:val="24"/>
        </w:rPr>
        <w:t>(1), 98–112.</w:t>
      </w:r>
    </w:p>
    <w:p w14:paraId="6B1766C1" w14:textId="77777777" w:rsidR="005968BF" w:rsidRPr="005968BF" w:rsidRDefault="005968BF" w:rsidP="005968BF">
      <w:pPr>
        <w:spacing w:after="120"/>
        <w:ind w:left="397" w:hanging="397"/>
        <w:jc w:val="both"/>
        <w:rPr>
          <w:sz w:val="24"/>
          <w:szCs w:val="24"/>
        </w:rPr>
      </w:pPr>
      <w:r w:rsidRPr="005968BF">
        <w:rPr>
          <w:sz w:val="24"/>
          <w:szCs w:val="24"/>
        </w:rPr>
        <w:t xml:space="preserve">Yusof, M. S. (2025a). The influence of digital adoption on the growth and resilience of rural agro-food entrepreneurs. </w:t>
      </w:r>
      <w:r w:rsidRPr="005968BF">
        <w:rPr>
          <w:i/>
          <w:sz w:val="24"/>
          <w:szCs w:val="24"/>
        </w:rPr>
        <w:t>International Journal of Business and Technology Management</w:t>
      </w:r>
      <w:r w:rsidRPr="005968BF">
        <w:rPr>
          <w:sz w:val="24"/>
          <w:szCs w:val="24"/>
        </w:rPr>
        <w:t xml:space="preserve">, </w:t>
      </w:r>
      <w:r w:rsidRPr="005968BF">
        <w:rPr>
          <w:i/>
          <w:sz w:val="24"/>
          <w:szCs w:val="24"/>
        </w:rPr>
        <w:t>7</w:t>
      </w:r>
      <w:r w:rsidRPr="005968BF">
        <w:rPr>
          <w:sz w:val="24"/>
          <w:szCs w:val="24"/>
        </w:rPr>
        <w:t>(6), 316–334. https://doi.org/10.55057/ijbtm.2025.7.6.27</w:t>
      </w:r>
    </w:p>
    <w:p w14:paraId="7BCDF212" w14:textId="77777777" w:rsidR="005968BF" w:rsidRPr="005968BF" w:rsidRDefault="005968BF" w:rsidP="005968BF">
      <w:pPr>
        <w:spacing w:after="120"/>
        <w:ind w:left="397" w:hanging="397"/>
        <w:jc w:val="both"/>
        <w:rPr>
          <w:sz w:val="24"/>
          <w:szCs w:val="24"/>
        </w:rPr>
      </w:pPr>
      <w:r w:rsidRPr="005968BF">
        <w:rPr>
          <w:sz w:val="24"/>
          <w:szCs w:val="24"/>
        </w:rPr>
        <w:t xml:space="preserve">Yusof, M. S. (2025b). Technology adoption in small and medium enterprises and its impact on business growth, innovation, and digital sustainability. </w:t>
      </w:r>
      <w:r w:rsidRPr="005968BF">
        <w:rPr>
          <w:i/>
          <w:sz w:val="24"/>
          <w:szCs w:val="24"/>
        </w:rPr>
        <w:t>International Journal of Advanced Research in Economics and Finance</w:t>
      </w:r>
      <w:r w:rsidRPr="005968BF">
        <w:rPr>
          <w:sz w:val="24"/>
          <w:szCs w:val="24"/>
        </w:rPr>
        <w:t xml:space="preserve">, </w:t>
      </w:r>
      <w:r w:rsidRPr="005968BF">
        <w:rPr>
          <w:i/>
          <w:sz w:val="24"/>
          <w:szCs w:val="24"/>
        </w:rPr>
        <w:t>7</w:t>
      </w:r>
      <w:r w:rsidRPr="005968BF">
        <w:rPr>
          <w:sz w:val="24"/>
          <w:szCs w:val="24"/>
        </w:rPr>
        <w:t>(3), 84–100. https://doi.org/10.55057/ijaref.2025.7.3.7</w:t>
      </w:r>
    </w:p>
    <w:p w14:paraId="26CC9566" w14:textId="77777777" w:rsidR="005968BF" w:rsidRPr="005968BF" w:rsidRDefault="005968BF" w:rsidP="005968BF">
      <w:pPr>
        <w:spacing w:after="120"/>
        <w:ind w:left="397" w:hanging="397"/>
        <w:jc w:val="both"/>
        <w:rPr>
          <w:sz w:val="24"/>
          <w:szCs w:val="24"/>
        </w:rPr>
      </w:pPr>
      <w:r w:rsidRPr="005968BF">
        <w:rPr>
          <w:sz w:val="24"/>
          <w:szCs w:val="24"/>
        </w:rPr>
        <w:t xml:space="preserve">Yusof, M. S. (2026). Integrating digital and entrepreneurial leadership: A framework for SME performance in emerging economies. </w:t>
      </w:r>
      <w:r w:rsidRPr="005968BF">
        <w:rPr>
          <w:i/>
          <w:sz w:val="24"/>
          <w:szCs w:val="24"/>
        </w:rPr>
        <w:t>Jurnal Evolusi</w:t>
      </w:r>
      <w:r w:rsidRPr="005968BF">
        <w:rPr>
          <w:sz w:val="24"/>
          <w:szCs w:val="24"/>
        </w:rPr>
        <w:t xml:space="preserve">, </w:t>
      </w:r>
      <w:r w:rsidRPr="005968BF">
        <w:rPr>
          <w:i/>
          <w:sz w:val="24"/>
          <w:szCs w:val="24"/>
        </w:rPr>
        <w:t>7</w:t>
      </w:r>
      <w:r w:rsidRPr="005968BF">
        <w:rPr>
          <w:sz w:val="24"/>
          <w:szCs w:val="24"/>
        </w:rPr>
        <w:t>(1), 62–77. https://doi.org/10.61688/jev.v7i1.568</w:t>
      </w:r>
    </w:p>
    <w:p w14:paraId="118C4373" w14:textId="77777777" w:rsidR="005968BF" w:rsidRPr="005968BF" w:rsidRDefault="005968BF" w:rsidP="005968BF">
      <w:pPr>
        <w:spacing w:after="120"/>
        <w:ind w:left="397" w:hanging="397"/>
        <w:jc w:val="both"/>
        <w:rPr>
          <w:sz w:val="24"/>
          <w:szCs w:val="24"/>
        </w:rPr>
      </w:pPr>
      <w:r w:rsidRPr="005968BF">
        <w:rPr>
          <w:sz w:val="24"/>
          <w:szCs w:val="24"/>
        </w:rPr>
        <w:t xml:space="preserve">Yusof, M. S., Abdul Razak, N., Mat Zin, Z., &amp; Abdulloh, N. N. (2025). Challenges and opportunities in TikTok Shop for advancing social commerce and consumer engagement strategies. </w:t>
      </w:r>
      <w:r w:rsidRPr="005968BF">
        <w:rPr>
          <w:i/>
          <w:sz w:val="24"/>
          <w:szCs w:val="24"/>
        </w:rPr>
        <w:t>International Journal of Business and Technology Management</w:t>
      </w:r>
      <w:r w:rsidRPr="005968BF">
        <w:rPr>
          <w:sz w:val="24"/>
          <w:szCs w:val="24"/>
        </w:rPr>
        <w:t xml:space="preserve">, </w:t>
      </w:r>
      <w:r w:rsidRPr="005968BF">
        <w:rPr>
          <w:i/>
          <w:sz w:val="24"/>
          <w:szCs w:val="24"/>
        </w:rPr>
        <w:t>7</w:t>
      </w:r>
      <w:r w:rsidRPr="005968BF">
        <w:rPr>
          <w:sz w:val="24"/>
          <w:szCs w:val="24"/>
        </w:rPr>
        <w:t>(2), 60–71. https://doi.org/10.55057/ijbtm.2025.7.2.7</w:t>
      </w:r>
    </w:p>
    <w:p w14:paraId="4D043AA4" w14:textId="77777777" w:rsidR="005968BF" w:rsidRPr="005968BF" w:rsidRDefault="005968BF" w:rsidP="005968BF">
      <w:pPr>
        <w:spacing w:after="120"/>
        <w:ind w:left="397" w:hanging="397"/>
        <w:jc w:val="both"/>
        <w:rPr>
          <w:sz w:val="24"/>
          <w:szCs w:val="24"/>
        </w:rPr>
      </w:pPr>
      <w:r w:rsidRPr="005968BF">
        <w:rPr>
          <w:sz w:val="24"/>
          <w:szCs w:val="24"/>
        </w:rPr>
        <w:t xml:space="preserve">Yusof, M. S., Kamarudin, M. A. I., Wahid, A., &amp; Osman, M. F. (2025a). Revolutionizing agro-food entrepreneurship through technology: A bibliometric exploration and emerging research frontiers. </w:t>
      </w:r>
      <w:r w:rsidRPr="005968BF">
        <w:rPr>
          <w:i/>
          <w:sz w:val="24"/>
          <w:szCs w:val="24"/>
        </w:rPr>
        <w:t>Journal of Information Systems Engineering and Management</w:t>
      </w:r>
      <w:r w:rsidRPr="005968BF">
        <w:rPr>
          <w:sz w:val="24"/>
          <w:szCs w:val="24"/>
        </w:rPr>
        <w:t xml:space="preserve">, </w:t>
      </w:r>
      <w:r w:rsidRPr="005968BF">
        <w:rPr>
          <w:i/>
          <w:sz w:val="24"/>
          <w:szCs w:val="24"/>
        </w:rPr>
        <w:t>10</w:t>
      </w:r>
      <w:r w:rsidRPr="005968BF">
        <w:rPr>
          <w:sz w:val="24"/>
          <w:szCs w:val="24"/>
        </w:rPr>
        <w:t>(27s), 660–668.</w:t>
      </w:r>
    </w:p>
    <w:p w14:paraId="364A7155" w14:textId="77777777" w:rsidR="005968BF" w:rsidRPr="005968BF" w:rsidRDefault="005968BF" w:rsidP="005968BF">
      <w:pPr>
        <w:spacing w:after="120"/>
        <w:ind w:left="397" w:hanging="397"/>
        <w:jc w:val="both"/>
        <w:rPr>
          <w:sz w:val="24"/>
          <w:szCs w:val="24"/>
        </w:rPr>
      </w:pPr>
      <w:r w:rsidRPr="005968BF">
        <w:rPr>
          <w:sz w:val="24"/>
          <w:szCs w:val="24"/>
        </w:rPr>
        <w:t xml:space="preserve">Yusof, M. S., Kamarudin, M. A. I., Wahid, A., &amp; Osman, M. F. (2025b). Transforming agro-food SMEs in Malaysia through digital innovation and smart technologies for sustainable competitiveness. </w:t>
      </w:r>
      <w:r w:rsidRPr="005968BF">
        <w:rPr>
          <w:i/>
          <w:sz w:val="24"/>
          <w:szCs w:val="24"/>
        </w:rPr>
        <w:t>International Journal of Environmental Sciences</w:t>
      </w:r>
      <w:r w:rsidRPr="005968BF">
        <w:rPr>
          <w:sz w:val="24"/>
          <w:szCs w:val="24"/>
        </w:rPr>
        <w:t xml:space="preserve">, </w:t>
      </w:r>
      <w:r w:rsidRPr="005968BF">
        <w:rPr>
          <w:i/>
          <w:sz w:val="24"/>
          <w:szCs w:val="24"/>
        </w:rPr>
        <w:t>11</w:t>
      </w:r>
      <w:r w:rsidRPr="005968BF">
        <w:rPr>
          <w:sz w:val="24"/>
          <w:szCs w:val="24"/>
        </w:rPr>
        <w:t>(9s), 530–543.</w:t>
      </w:r>
    </w:p>
    <w:p w14:paraId="60EA95DB" w14:textId="77777777" w:rsidR="005968BF" w:rsidRPr="005968BF" w:rsidRDefault="005968BF" w:rsidP="005968BF">
      <w:pPr>
        <w:spacing w:after="120"/>
        <w:ind w:left="397" w:hanging="397"/>
        <w:jc w:val="both"/>
        <w:rPr>
          <w:sz w:val="24"/>
          <w:szCs w:val="24"/>
        </w:rPr>
      </w:pPr>
      <w:r w:rsidRPr="005968BF">
        <w:rPr>
          <w:sz w:val="24"/>
          <w:szCs w:val="24"/>
        </w:rPr>
        <w:t xml:space="preserve">Yusof, M. S., Fauzi, N., Jamaludin, A., Seman, S. A., Salleh, M. N., &amp; Tasrip, N. E. (2025). Technological advancements in vending machines transforming consumer behavior market trends and the future of automated retail. </w:t>
      </w:r>
      <w:r w:rsidRPr="005968BF">
        <w:rPr>
          <w:i/>
          <w:sz w:val="24"/>
          <w:szCs w:val="24"/>
        </w:rPr>
        <w:t>Journal of Posthumanism</w:t>
      </w:r>
      <w:r w:rsidRPr="005968BF">
        <w:rPr>
          <w:sz w:val="24"/>
          <w:szCs w:val="24"/>
        </w:rPr>
        <w:t xml:space="preserve">, </w:t>
      </w:r>
      <w:r w:rsidRPr="005968BF">
        <w:rPr>
          <w:i/>
          <w:sz w:val="24"/>
          <w:szCs w:val="24"/>
        </w:rPr>
        <w:t>5</w:t>
      </w:r>
      <w:r w:rsidRPr="005968BF">
        <w:rPr>
          <w:sz w:val="24"/>
          <w:szCs w:val="24"/>
        </w:rPr>
        <w:t>(6), 139–149. https://doi.org/10.63332/joph.v5i6.1968</w:t>
      </w:r>
    </w:p>
    <w:p w14:paraId="2283D371" w14:textId="77777777" w:rsidR="005968BF" w:rsidRPr="005968BF" w:rsidRDefault="005968BF" w:rsidP="005968BF">
      <w:pPr>
        <w:spacing w:after="120"/>
        <w:ind w:left="397" w:hanging="397"/>
        <w:jc w:val="both"/>
        <w:rPr>
          <w:sz w:val="24"/>
          <w:szCs w:val="24"/>
        </w:rPr>
      </w:pPr>
      <w:r w:rsidRPr="005968BF">
        <w:rPr>
          <w:sz w:val="24"/>
          <w:szCs w:val="24"/>
        </w:rPr>
        <w:t xml:space="preserve">Zaini, A. F. B. A., Yusof, M. S. B., Jamaludin, A., Yunus, M. H. S. M., &amp; Hashim, F. (2026). Consumer review perception and its impact on Generation Z online spending behaviour in modern digital commerce. </w:t>
      </w:r>
      <w:r w:rsidRPr="005968BF">
        <w:rPr>
          <w:i/>
          <w:sz w:val="24"/>
          <w:szCs w:val="24"/>
        </w:rPr>
        <w:t>Veredas do Direito</w:t>
      </w:r>
      <w:r w:rsidRPr="005968BF">
        <w:rPr>
          <w:sz w:val="24"/>
          <w:szCs w:val="24"/>
        </w:rPr>
        <w:t xml:space="preserve">, </w:t>
      </w:r>
      <w:r w:rsidRPr="005968BF">
        <w:rPr>
          <w:i/>
          <w:sz w:val="24"/>
          <w:szCs w:val="24"/>
        </w:rPr>
        <w:t>23</w:t>
      </w:r>
      <w:r w:rsidRPr="005968BF">
        <w:rPr>
          <w:sz w:val="24"/>
          <w:szCs w:val="24"/>
        </w:rPr>
        <w:t>(1), e234304–e234304.</w:t>
      </w:r>
    </w:p>
    <w:p w14:paraId="36536A92" w14:textId="77777777" w:rsidR="005968BF" w:rsidRPr="005968BF" w:rsidRDefault="005968BF" w:rsidP="005968BF">
      <w:pPr>
        <w:spacing w:after="120"/>
        <w:ind w:left="397" w:hanging="397"/>
        <w:jc w:val="both"/>
        <w:rPr>
          <w:sz w:val="24"/>
          <w:szCs w:val="24"/>
        </w:rPr>
      </w:pPr>
      <w:r w:rsidRPr="005968BF">
        <w:rPr>
          <w:sz w:val="24"/>
          <w:szCs w:val="24"/>
        </w:rPr>
        <w:lastRenderedPageBreak/>
        <w:t xml:space="preserve">Zhang, X., &amp; Zhang, R. (2022). Factors influencing patients’ opt-in intention of exchanging health information. </w:t>
      </w:r>
      <w:r w:rsidRPr="005968BF">
        <w:rPr>
          <w:i/>
          <w:sz w:val="24"/>
          <w:szCs w:val="24"/>
        </w:rPr>
        <w:t>Frontiers in Public Health</w:t>
      </w:r>
      <w:r w:rsidRPr="005968BF">
        <w:rPr>
          <w:sz w:val="24"/>
          <w:szCs w:val="24"/>
        </w:rPr>
        <w:t xml:space="preserve">, </w:t>
      </w:r>
      <w:r w:rsidRPr="005968BF">
        <w:rPr>
          <w:i/>
          <w:sz w:val="24"/>
          <w:szCs w:val="24"/>
        </w:rPr>
        <w:t>10</w:t>
      </w:r>
      <w:r w:rsidRPr="005968BF">
        <w:rPr>
          <w:sz w:val="24"/>
          <w:szCs w:val="24"/>
        </w:rPr>
        <w:t>, 907141. https://doi.org/10.3389/fpubh.2022.907141</w:t>
      </w:r>
    </w:p>
    <w:p w14:paraId="0C27D94B" w14:textId="77E4A636" w:rsidR="00501175" w:rsidRPr="00234D6C" w:rsidRDefault="00501175" w:rsidP="005968BF">
      <w:pPr>
        <w:spacing w:after="120"/>
        <w:ind w:left="397" w:hanging="397"/>
        <w:jc w:val="both"/>
        <w:rPr>
          <w:sz w:val="24"/>
          <w:szCs w:val="24"/>
        </w:rPr>
      </w:pPr>
    </w:p>
    <w:sectPr w:rsidR="00501175" w:rsidRPr="00234D6C">
      <w:headerReference w:type="even" r:id="rId7"/>
      <w:headerReference w:type="default" r:id="rId8"/>
      <w:footerReference w:type="even" r:id="rId9"/>
      <w:footerReference w:type="default" r:id="rId10"/>
      <w:headerReference w:type="first" r:id="rId11"/>
      <w:footerReference w:type="first" r:id="rId12"/>
      <w:pgSz w:w="11906" w:h="16838"/>
      <w:pgMar w:top="1037" w:right="1181" w:bottom="1037" w:left="118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68FC5" w14:textId="77777777" w:rsidR="005D1281" w:rsidRDefault="005D1281">
      <w:pPr>
        <w:spacing w:after="0"/>
      </w:pPr>
      <w:r>
        <w:separator/>
      </w:r>
    </w:p>
  </w:endnote>
  <w:endnote w:type="continuationSeparator" w:id="0">
    <w:p w14:paraId="43F570AD" w14:textId="77777777" w:rsidR="005D1281" w:rsidRDefault="005D12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88DA0" w14:textId="77777777" w:rsidR="00701FD8" w:rsidRDefault="00701F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742345"/>
      <w:docPartObj>
        <w:docPartGallery w:val="Page Numbers (Bottom of Page)"/>
        <w:docPartUnique/>
      </w:docPartObj>
    </w:sdtPr>
    <w:sdtEndPr>
      <w:rPr>
        <w:noProof/>
        <w:sz w:val="24"/>
        <w:szCs w:val="24"/>
      </w:rPr>
    </w:sdtEndPr>
    <w:sdtContent>
      <w:p w14:paraId="29323633" w14:textId="77777777" w:rsidR="006E641B" w:rsidRDefault="006E641B">
        <w:pPr>
          <w:pStyle w:val="Footer"/>
          <w:jc w:val="right"/>
        </w:pPr>
      </w:p>
      <w:p w14:paraId="245FB853" w14:textId="3D84C2CE" w:rsidR="006E641B" w:rsidRPr="006E641B" w:rsidRDefault="006E641B">
        <w:pPr>
          <w:pStyle w:val="Footer"/>
          <w:jc w:val="right"/>
          <w:rPr>
            <w:sz w:val="24"/>
            <w:szCs w:val="24"/>
          </w:rPr>
        </w:pPr>
        <w:r w:rsidRPr="006E641B">
          <w:rPr>
            <w:sz w:val="24"/>
            <w:szCs w:val="24"/>
          </w:rPr>
          <w:fldChar w:fldCharType="begin"/>
        </w:r>
        <w:r w:rsidRPr="006E641B">
          <w:rPr>
            <w:sz w:val="24"/>
            <w:szCs w:val="24"/>
          </w:rPr>
          <w:instrText xml:space="preserve"> PAGE   \* MERGEFORMAT </w:instrText>
        </w:r>
        <w:r w:rsidRPr="006E641B">
          <w:rPr>
            <w:sz w:val="24"/>
            <w:szCs w:val="24"/>
          </w:rPr>
          <w:fldChar w:fldCharType="separate"/>
        </w:r>
        <w:r w:rsidRPr="006E641B">
          <w:rPr>
            <w:noProof/>
            <w:sz w:val="24"/>
            <w:szCs w:val="24"/>
          </w:rPr>
          <w:t>2</w:t>
        </w:r>
        <w:r w:rsidRPr="006E641B">
          <w:rPr>
            <w:noProof/>
            <w:sz w:val="24"/>
            <w:szCs w:val="24"/>
          </w:rPr>
          <w:fldChar w:fldCharType="end"/>
        </w:r>
      </w:p>
    </w:sdtContent>
  </w:sdt>
  <w:p w14:paraId="22AC1701" w14:textId="1C164FA4" w:rsidR="00501175" w:rsidRDefault="00501175">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8CCB4" w14:textId="77777777" w:rsidR="00701FD8" w:rsidRDefault="00701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BE33C" w14:textId="77777777" w:rsidR="005D1281" w:rsidRDefault="005D1281">
      <w:pPr>
        <w:spacing w:after="0"/>
      </w:pPr>
      <w:r>
        <w:separator/>
      </w:r>
    </w:p>
  </w:footnote>
  <w:footnote w:type="continuationSeparator" w:id="0">
    <w:p w14:paraId="2EBC7199" w14:textId="77777777" w:rsidR="005D1281" w:rsidRDefault="005D12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C5A4D" w14:textId="77777777" w:rsidR="00701FD8" w:rsidRDefault="00701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008E" w14:textId="77777777" w:rsidR="00501175" w:rsidRDefault="00501175"/>
  <w:tbl>
    <w:tblPr>
      <w:tblW w:w="0" w:type="auto"/>
      <w:jc w:val="center"/>
      <w:tblLook w:val="04A0" w:firstRow="1" w:lastRow="0" w:firstColumn="1" w:lastColumn="0" w:noHBand="0" w:noVBand="1"/>
    </w:tblPr>
    <w:tblGrid>
      <w:gridCol w:w="3109"/>
      <w:gridCol w:w="6415"/>
    </w:tblGrid>
    <w:tr w:rsidR="00501175" w14:paraId="69E63D1D" w14:textId="77777777" w:rsidTr="009A630C">
      <w:trPr>
        <w:jc w:val="center"/>
      </w:trPr>
      <w:tc>
        <w:tcPr>
          <w:tcW w:w="3109" w:type="dxa"/>
          <w:tcBorders>
            <w:top w:val="single" w:sz="8" w:space="0" w:color="9B9B9B"/>
            <w:left w:val="single" w:sz="8" w:space="0" w:color="9B9B9B"/>
            <w:bottom w:val="single" w:sz="8" w:space="0" w:color="9B9B9B"/>
            <w:right w:val="single" w:sz="8" w:space="0" w:color="9B9B9B"/>
          </w:tcBorders>
          <w:tcMar>
            <w:top w:w="70" w:type="dxa"/>
            <w:left w:w="90" w:type="dxa"/>
            <w:bottom w:w="70" w:type="dxa"/>
            <w:right w:w="90" w:type="dxa"/>
          </w:tcMar>
          <w:vAlign w:val="center"/>
        </w:tcPr>
        <w:p w14:paraId="7C2B0001" w14:textId="77777777" w:rsidR="00501175" w:rsidRDefault="002C291D">
          <w:pPr>
            <w:jc w:val="center"/>
          </w:pPr>
          <w:r>
            <w:rPr>
              <w:noProof/>
            </w:rPr>
            <w:drawing>
              <wp:inline distT="0" distB="0" distL="0" distR="0" wp14:anchorId="388722DE" wp14:editId="335166CE">
                <wp:extent cx="1051560" cy="546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et_Logo_Cropped.png"/>
                        <pic:cNvPicPr/>
                      </pic:nvPicPr>
                      <pic:blipFill>
                        <a:blip r:embed="rId1"/>
                        <a:stretch>
                          <a:fillRect/>
                        </a:stretch>
                      </pic:blipFill>
                      <pic:spPr>
                        <a:xfrm>
                          <a:off x="0" y="0"/>
                          <a:ext cx="1051560" cy="546234"/>
                        </a:xfrm>
                        <a:prstGeom prst="rect">
                          <a:avLst/>
                        </a:prstGeom>
                      </pic:spPr>
                    </pic:pic>
                  </a:graphicData>
                </a:graphic>
              </wp:inline>
            </w:drawing>
          </w:r>
        </w:p>
      </w:tc>
      <w:tc>
        <w:tcPr>
          <w:tcW w:w="6415" w:type="dxa"/>
          <w:tcBorders>
            <w:top w:val="single" w:sz="8" w:space="0" w:color="9B9B9B"/>
            <w:left w:val="single" w:sz="8" w:space="0" w:color="9B9B9B"/>
            <w:bottom w:val="single" w:sz="8" w:space="0" w:color="9B9B9B"/>
            <w:right w:val="single" w:sz="8" w:space="0" w:color="9B9B9B"/>
          </w:tcBorders>
          <w:tcMar>
            <w:top w:w="70" w:type="dxa"/>
            <w:left w:w="90" w:type="dxa"/>
            <w:bottom w:w="70" w:type="dxa"/>
            <w:right w:w="90" w:type="dxa"/>
          </w:tcMar>
          <w:vAlign w:val="center"/>
        </w:tcPr>
        <w:p w14:paraId="18AC1DF4" w14:textId="77777777" w:rsidR="00501175" w:rsidRDefault="002C291D">
          <w:pPr>
            <w:jc w:val="center"/>
          </w:pPr>
          <w:r>
            <w:rPr>
              <w:b/>
              <w:sz w:val="23"/>
            </w:rPr>
            <w:t>INTERNATIONAL JOURNAL OF BUSINESS AND MANAGEMENT ADVANCEMENT</w:t>
          </w:r>
        </w:p>
        <w:p w14:paraId="54DE1B88" w14:textId="5B2C6158" w:rsidR="006E641B" w:rsidRPr="006E641B" w:rsidRDefault="006E641B" w:rsidP="006E641B">
          <w:pPr>
            <w:spacing w:after="0"/>
            <w:jc w:val="center"/>
            <w:rPr>
              <w:sz w:val="17"/>
            </w:rPr>
          </w:pPr>
          <w:r w:rsidRPr="006E641B">
            <w:rPr>
              <w:sz w:val="17"/>
            </w:rPr>
            <w:t xml:space="preserve">IJBMA  |  e-ISSN: XXXX-XXXX  |  Vol. 1, No. 1, </w:t>
          </w:r>
          <w:r w:rsidR="00701FD8">
            <w:rPr>
              <w:sz w:val="17"/>
            </w:rPr>
            <w:t>73-102</w:t>
          </w:r>
          <w:r w:rsidRPr="006E641B">
            <w:rPr>
              <w:sz w:val="17"/>
            </w:rPr>
            <w:t>, 2026</w:t>
          </w:r>
        </w:p>
        <w:p w14:paraId="5F05504B" w14:textId="67D321C5" w:rsidR="00501175" w:rsidRDefault="006E641B" w:rsidP="006E641B">
          <w:pPr>
            <w:spacing w:after="0"/>
            <w:jc w:val="center"/>
          </w:pPr>
          <w:r w:rsidRPr="006E641B">
            <w:rPr>
              <w:sz w:val="17"/>
            </w:rPr>
            <w:t>https;//globalacademianetwork.org/journal</w:t>
          </w:r>
        </w:p>
      </w:tc>
    </w:tr>
  </w:tbl>
  <w:p w14:paraId="50F07474" w14:textId="50CD8AB7" w:rsidR="00E14233" w:rsidRDefault="006E641B">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E088" w14:textId="77777777" w:rsidR="00701FD8" w:rsidRDefault="00701F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9C"/>
    <w:rsid w:val="0001410B"/>
    <w:rsid w:val="000A0DF9"/>
    <w:rsid w:val="00234D6C"/>
    <w:rsid w:val="002B7C70"/>
    <w:rsid w:val="002C291D"/>
    <w:rsid w:val="003269C4"/>
    <w:rsid w:val="00475AE7"/>
    <w:rsid w:val="004B6378"/>
    <w:rsid w:val="00501175"/>
    <w:rsid w:val="005653D0"/>
    <w:rsid w:val="00577168"/>
    <w:rsid w:val="005968BF"/>
    <w:rsid w:val="005D1281"/>
    <w:rsid w:val="00605EB3"/>
    <w:rsid w:val="006343FB"/>
    <w:rsid w:val="006D44C2"/>
    <w:rsid w:val="006E641B"/>
    <w:rsid w:val="00701FD8"/>
    <w:rsid w:val="00785F9E"/>
    <w:rsid w:val="007B6EA1"/>
    <w:rsid w:val="007E52E6"/>
    <w:rsid w:val="00972720"/>
    <w:rsid w:val="009A630C"/>
    <w:rsid w:val="00A363E5"/>
    <w:rsid w:val="00A5390C"/>
    <w:rsid w:val="00A863C0"/>
    <w:rsid w:val="00B9659C"/>
    <w:rsid w:val="00CB6926"/>
    <w:rsid w:val="00D06753"/>
    <w:rsid w:val="00E14233"/>
    <w:rsid w:val="00ED658E"/>
    <w:rsid w:val="00F1768D"/>
    <w:rsid w:val="00F2244E"/>
    <w:rsid w:val="00F630A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9D1D2"/>
  <w15:chartTrackingRefBased/>
  <w15:docId w15:val="{017E11F3-8BF2-4764-A8D7-F6391D83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4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68D"/>
    <w:pPr>
      <w:tabs>
        <w:tab w:val="center" w:pos="4513"/>
        <w:tab w:val="right" w:pos="9026"/>
      </w:tabs>
      <w:spacing w:after="0"/>
    </w:pPr>
  </w:style>
  <w:style w:type="character" w:customStyle="1" w:styleId="HeaderChar">
    <w:name w:val="Header Char"/>
    <w:basedOn w:val="DefaultParagraphFont"/>
    <w:link w:val="Header"/>
    <w:uiPriority w:val="99"/>
    <w:rsid w:val="00F1768D"/>
    <w:rPr>
      <w:rFonts w:ascii="Times New Roman" w:hAnsi="Times New Roman"/>
    </w:rPr>
  </w:style>
  <w:style w:type="paragraph" w:styleId="Footer">
    <w:name w:val="footer"/>
    <w:basedOn w:val="Normal"/>
    <w:link w:val="FooterChar"/>
    <w:uiPriority w:val="99"/>
    <w:unhideWhenUsed/>
    <w:rsid w:val="00F1768D"/>
    <w:pPr>
      <w:tabs>
        <w:tab w:val="center" w:pos="4513"/>
        <w:tab w:val="right" w:pos="9026"/>
      </w:tabs>
      <w:spacing w:after="0"/>
    </w:pPr>
  </w:style>
  <w:style w:type="character" w:customStyle="1" w:styleId="FooterChar">
    <w:name w:val="Footer Char"/>
    <w:basedOn w:val="DefaultParagraphFont"/>
    <w:link w:val="Footer"/>
    <w:uiPriority w:val="99"/>
    <w:rsid w:val="00F1768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66497">
      <w:bodyDiv w:val="1"/>
      <w:marLeft w:val="0"/>
      <w:marRight w:val="0"/>
      <w:marTop w:val="0"/>
      <w:marBottom w:val="0"/>
      <w:divBdr>
        <w:top w:val="none" w:sz="0" w:space="0" w:color="auto"/>
        <w:left w:val="none" w:sz="0" w:space="0" w:color="auto"/>
        <w:bottom w:val="none" w:sz="0" w:space="0" w:color="auto"/>
        <w:right w:val="none" w:sz="0" w:space="0" w:color="auto"/>
      </w:divBdr>
    </w:div>
    <w:div w:id="367219808">
      <w:bodyDiv w:val="1"/>
      <w:marLeft w:val="0"/>
      <w:marRight w:val="0"/>
      <w:marTop w:val="0"/>
      <w:marBottom w:val="0"/>
      <w:divBdr>
        <w:top w:val="none" w:sz="0" w:space="0" w:color="auto"/>
        <w:left w:val="none" w:sz="0" w:space="0" w:color="auto"/>
        <w:bottom w:val="none" w:sz="0" w:space="0" w:color="auto"/>
        <w:right w:val="none" w:sz="0" w:space="0" w:color="auto"/>
      </w:divBdr>
    </w:div>
    <w:div w:id="134828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05695-85DE-446A-AEA0-653F99C74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16322</Words>
  <Characters>93036</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MOHAMED SUHAIMI BIN YUSOF</dc:creator>
  <cp:keywords/>
  <dc:description/>
  <cp:lastModifiedBy>DR MOHAMED SUHAIMI BIN YUSOF</cp:lastModifiedBy>
  <cp:revision>8</cp:revision>
  <cp:lastPrinted>2026-09-17T10:06:00Z</cp:lastPrinted>
  <dcterms:created xsi:type="dcterms:W3CDTF">2026-09-17T10:06:00Z</dcterms:created>
  <dcterms:modified xsi:type="dcterms:W3CDTF">2026-09-24T07:30:00Z</dcterms:modified>
</cp:coreProperties>
</file>